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47"/>
        <w:gridCol w:w="7230"/>
      </w:tblGrid>
      <w:tr w:rsidR="002914D6" w:rsidRPr="00D230CE">
        <w:trPr>
          <w:jc w:val="center"/>
        </w:trPr>
        <w:tc>
          <w:tcPr>
            <w:tcW w:w="743" w:type="dxa"/>
          </w:tcPr>
          <w:p w:rsidR="002914D6" w:rsidRPr="00D230CE" w:rsidRDefault="00011212">
            <w:pPr>
              <w:jc w:val="both"/>
              <w:rPr>
                <w:rFonts w:ascii="Arial" w:hAnsi="Arial"/>
                <w:b/>
                <w:bCs/>
              </w:rPr>
            </w:pPr>
            <w:bookmarkStart w:id="0" w:name="_GoBack"/>
            <w:bookmarkEnd w:id="0"/>
            <w:r w:rsidRPr="00D230CE">
              <w:rPr>
                <w:rFonts w:ascii="Arial" w:hAnsi="Arial" w:hint="cs"/>
                <w:b/>
                <w:bCs/>
                <w:rtl/>
              </w:rPr>
              <w:t>ב</w:t>
            </w:r>
            <w:r w:rsidRPr="00D230CE">
              <w:rPr>
                <w:rFonts w:ascii="Arial" w:hAnsi="Arial"/>
                <w:b/>
                <w:bCs/>
                <w:rtl/>
              </w:rPr>
              <w:t xml:space="preserve">פני </w:t>
            </w:r>
          </w:p>
        </w:tc>
        <w:tc>
          <w:tcPr>
            <w:tcW w:w="8077" w:type="dxa"/>
            <w:gridSpan w:val="2"/>
          </w:tcPr>
          <w:p w:rsidR="002914D6" w:rsidRPr="00D230CE" w:rsidRDefault="00011212">
            <w:pPr>
              <w:rPr>
                <w:rFonts w:ascii="Arial" w:hAnsi="Arial"/>
                <w:b/>
                <w:bCs/>
                <w:rtl/>
              </w:rPr>
            </w:pPr>
            <w:r w:rsidRPr="00D230CE">
              <w:rPr>
                <w:rFonts w:ascii="Arial" w:hAnsi="Arial" w:hint="cs"/>
                <w:b/>
                <w:bCs/>
                <w:rtl/>
              </w:rPr>
              <w:t>כב' ה</w:t>
            </w:r>
            <w:sdt>
              <w:sdtPr>
                <w:rPr>
                  <w:rtl/>
                </w:rPr>
                <w:alias w:val="1574"/>
                <w:tag w:val="1574"/>
                <w:id w:val="874660890"/>
                <w:text w:multiLine="1"/>
              </w:sdtPr>
              <w:sdtEndPr/>
              <w:sdtContent>
                <w:r w:rsidRPr="00D230CE">
                  <w:rPr>
                    <w:rFonts w:ascii="Arial" w:hAnsi="Arial"/>
                    <w:b/>
                    <w:bCs/>
                    <w:rtl/>
                  </w:rPr>
                  <w:t>שופט</w:t>
                </w:r>
              </w:sdtContent>
            </w:sdt>
            <w:r w:rsidRPr="00D230CE">
              <w:rPr>
                <w:rFonts w:ascii="Arial" w:hAnsi="Arial" w:hint="cs"/>
                <w:b/>
                <w:bCs/>
                <w:rtl/>
              </w:rPr>
              <w:t xml:space="preserve">  </w:t>
            </w:r>
            <w:sdt>
              <w:sdtPr>
                <w:rPr>
                  <w:rtl/>
                </w:rPr>
                <w:alias w:val="1573"/>
                <w:tag w:val="1573"/>
                <w:id w:val="-188843600"/>
                <w:text w:multiLine="1"/>
              </w:sdtPr>
              <w:sdtEndPr/>
              <w:sdtContent>
                <w:r w:rsidRPr="00D230CE">
                  <w:rPr>
                    <w:rFonts w:ascii="Arial" w:hAnsi="Arial"/>
                    <w:b/>
                    <w:bCs/>
                    <w:rtl/>
                  </w:rPr>
                  <w:t>יהורם שקד</w:t>
                </w:r>
              </w:sdtContent>
            </w:sdt>
          </w:p>
          <w:p w:rsidR="002914D6" w:rsidRPr="00D230CE" w:rsidRDefault="002914D6">
            <w:pPr>
              <w:rPr>
                <w:rFonts w:ascii="Arial" w:hAnsi="Arial" w:cs="FrankRuehl"/>
                <w:highlight w:val="yellow"/>
              </w:rPr>
            </w:pPr>
          </w:p>
        </w:tc>
      </w:tr>
      <w:tr w:rsidR="002914D6" w:rsidRPr="00D230CE" w:rsidTr="00F62C73">
        <w:trPr>
          <w:jc w:val="center"/>
        </w:trPr>
        <w:tc>
          <w:tcPr>
            <w:tcW w:w="1590" w:type="dxa"/>
            <w:gridSpan w:val="2"/>
          </w:tcPr>
          <w:p w:rsidR="000C6FE3" w:rsidRDefault="008D1009">
            <w:pPr>
              <w:bidi w:val="0"/>
              <w:jc w:val="right"/>
              <w:rPr>
                <w:rtl/>
              </w:rPr>
            </w:pPr>
            <w:sdt>
              <w:sdtPr>
                <w:alias w:val="1180"/>
                <w:tag w:val="1180"/>
                <w:id w:val="1559975633"/>
                <w:text w:multiLine="1"/>
              </w:sdtPr>
              <w:sdtEndPr/>
              <w:sdtContent>
                <w:r w:rsidR="00F62C73">
                  <w:rPr>
                    <w:rFonts w:ascii="Arial" w:hAnsi="Arial" w:hint="cs"/>
                    <w:b/>
                    <w:bCs/>
                    <w:noProof w:val="0"/>
                    <w:rtl/>
                  </w:rPr>
                  <w:t>ה</w:t>
                </w:r>
                <w:r w:rsidR="008C4A8D" w:rsidRPr="00D230CE">
                  <w:rPr>
                    <w:rFonts w:ascii="Arial" w:hAnsi="Arial"/>
                    <w:b/>
                    <w:bCs/>
                    <w:noProof w:val="0"/>
                    <w:rtl/>
                  </w:rPr>
                  <w:t>מבקש</w:t>
                </w:r>
                <w:r w:rsidR="008C4A8D" w:rsidRPr="00D230CE">
                  <w:rPr>
                    <w:rFonts w:ascii="Arial" w:hAnsi="Arial" w:hint="cs"/>
                    <w:b/>
                    <w:bCs/>
                    <w:noProof w:val="0"/>
                    <w:rtl/>
                  </w:rPr>
                  <w:t>ת</w:t>
                </w:r>
              </w:sdtContent>
            </w:sdt>
            <w:r w:rsidR="00F62C73">
              <w:rPr>
                <w:rFonts w:hint="cs"/>
                <w:rtl/>
              </w:rPr>
              <w:t>:</w:t>
            </w:r>
          </w:p>
          <w:p w:rsidR="00F62C73" w:rsidRPr="00D230CE" w:rsidRDefault="00F62C73" w:rsidP="00F62C73">
            <w:pPr>
              <w:bidi w:val="0"/>
              <w:jc w:val="right"/>
              <w:rPr>
                <w:rFonts w:ascii="Arial" w:hAnsi="Arial"/>
                <w:b/>
                <w:bCs/>
                <w:noProof w:val="0"/>
                <w:rtl/>
              </w:rPr>
            </w:pPr>
            <w:r>
              <w:rPr>
                <w:rFonts w:ascii="Arial" w:hAnsi="Arial" w:hint="cs"/>
                <w:b/>
                <w:bCs/>
                <w:rtl/>
              </w:rPr>
              <w:t>(הנתבעת)</w:t>
            </w:r>
          </w:p>
        </w:tc>
        <w:tc>
          <w:tcPr>
            <w:tcW w:w="7230" w:type="dxa"/>
          </w:tcPr>
          <w:p w:rsidR="002914D6" w:rsidRPr="00D230CE" w:rsidRDefault="008D1009" w:rsidP="00F62C73">
            <w:pPr>
              <w:rPr>
                <w:b/>
                <w:bCs/>
                <w:noProof w:val="0"/>
              </w:rPr>
            </w:pPr>
            <w:sdt>
              <w:sdtPr>
                <w:rPr>
                  <w:rtl/>
                </w:rPr>
                <w:alias w:val="1478"/>
                <w:tag w:val="1478"/>
                <w:id w:val="-1896729429"/>
                <w:text w:multiLine="1"/>
              </w:sdtPr>
              <w:sdtEndPr/>
              <w:sdtContent>
                <w:r w:rsidR="00F62C73">
                  <w:rPr>
                    <w:rFonts w:ascii="Arial" w:hAnsi="Arial" w:hint="cs"/>
                    <w:b/>
                    <w:bCs/>
                    <w:noProof w:val="0"/>
                    <w:rtl/>
                  </w:rPr>
                  <w:t>אלמונית</w:t>
                </w:r>
              </w:sdtContent>
            </w:sdt>
            <w:sdt>
              <w:sdtPr>
                <w:rPr>
                  <w:b/>
                  <w:bCs/>
                  <w:rtl/>
                </w:rPr>
                <w:alias w:val="2316"/>
                <w:tag w:val="2316"/>
                <w:id w:val="1341505390"/>
                <w:text w:multiLine="1"/>
              </w:sdtPr>
              <w:sdtEndPr/>
              <w:sdtContent>
                <w:r w:rsidR="00F62C73">
                  <w:rPr>
                    <w:b/>
                    <w:bCs/>
                    <w:rtl/>
                  </w:rPr>
                  <w:br/>
                </w:r>
                <w:r w:rsidR="00F62C73">
                  <w:rPr>
                    <w:rFonts w:hint="cs"/>
                    <w:b/>
                    <w:bCs/>
                    <w:rtl/>
                  </w:rPr>
                  <w:t>ע</w:t>
                </w:r>
                <w:r w:rsidR="008C4A8D" w:rsidRPr="00D230CE">
                  <w:rPr>
                    <w:rFonts w:hint="cs"/>
                    <w:b/>
                    <w:bCs/>
                    <w:rtl/>
                  </w:rPr>
                  <w:t xml:space="preserve">"י ב"כ עו"ד שי קדמי </w:t>
                </w:r>
              </w:sdtContent>
            </w:sdt>
          </w:p>
        </w:tc>
      </w:tr>
      <w:tr w:rsidR="002914D6" w:rsidRPr="00D230CE">
        <w:trPr>
          <w:jc w:val="center"/>
        </w:trPr>
        <w:tc>
          <w:tcPr>
            <w:tcW w:w="8820" w:type="dxa"/>
            <w:gridSpan w:val="3"/>
          </w:tcPr>
          <w:p w:rsidR="002914D6" w:rsidRPr="00F62C73" w:rsidRDefault="002914D6">
            <w:pPr>
              <w:rPr>
                <w:rFonts w:ascii="Arial" w:hAnsi="Arial"/>
                <w:b/>
                <w:bCs/>
                <w:noProof w:val="0"/>
                <w:sz w:val="18"/>
                <w:szCs w:val="18"/>
                <w:rtl/>
              </w:rPr>
            </w:pPr>
          </w:p>
          <w:p w:rsidR="002914D6" w:rsidRPr="00D230CE" w:rsidRDefault="00D230CE" w:rsidP="00F62C73">
            <w:pPr>
              <w:tabs>
                <w:tab w:val="left" w:pos="2754"/>
                <w:tab w:val="center" w:pos="4302"/>
              </w:tabs>
              <w:rPr>
                <w:rFonts w:ascii="Arial" w:hAnsi="Arial"/>
                <w:b/>
                <w:bCs/>
                <w:noProof w:val="0"/>
                <w:rtl/>
              </w:rPr>
            </w:pPr>
            <w:r>
              <w:rPr>
                <w:rFonts w:ascii="Arial" w:hAnsi="Arial"/>
                <w:b/>
                <w:bCs/>
                <w:noProof w:val="0"/>
                <w:rtl/>
              </w:rPr>
              <w:tab/>
            </w:r>
            <w:r w:rsidR="00011212" w:rsidRPr="00D230CE">
              <w:rPr>
                <w:rFonts w:ascii="Arial" w:hAnsi="Arial"/>
                <w:b/>
                <w:bCs/>
                <w:noProof w:val="0"/>
                <w:rtl/>
              </w:rPr>
              <w:t>נגד</w:t>
            </w:r>
          </w:p>
          <w:p w:rsidR="002914D6" w:rsidRPr="00F62C73" w:rsidRDefault="002914D6">
            <w:pPr>
              <w:rPr>
                <w:rFonts w:ascii="Arial" w:hAnsi="Arial"/>
                <w:b/>
                <w:bCs/>
                <w:noProof w:val="0"/>
                <w:sz w:val="18"/>
                <w:szCs w:val="18"/>
              </w:rPr>
            </w:pPr>
          </w:p>
        </w:tc>
      </w:tr>
      <w:tr w:rsidR="002914D6" w:rsidRPr="00D230CE" w:rsidTr="00F62C73">
        <w:trPr>
          <w:jc w:val="center"/>
        </w:trPr>
        <w:tc>
          <w:tcPr>
            <w:tcW w:w="1590" w:type="dxa"/>
            <w:gridSpan w:val="2"/>
          </w:tcPr>
          <w:p w:rsidR="002914D6" w:rsidRPr="00D230CE" w:rsidRDefault="008D1009">
            <w:pPr>
              <w:rPr>
                <w:rFonts w:ascii="Arial" w:hAnsi="Arial"/>
                <w:b/>
                <w:bCs/>
                <w:noProof w:val="0"/>
              </w:rPr>
            </w:pPr>
            <w:sdt>
              <w:sdtPr>
                <w:rPr>
                  <w:b/>
                  <w:bCs/>
                  <w:rtl/>
                </w:rPr>
                <w:alias w:val="1184"/>
                <w:tag w:val="1184"/>
                <w:id w:val="386307046"/>
                <w:text w:multiLine="1"/>
              </w:sdtPr>
              <w:sdtEndPr/>
              <w:sdtContent>
                <w:r w:rsidR="00F62C73" w:rsidRPr="00F62C73">
                  <w:rPr>
                    <w:rFonts w:ascii="Arial" w:hAnsi="Arial" w:hint="cs"/>
                    <w:b/>
                    <w:bCs/>
                    <w:noProof w:val="0"/>
                    <w:rtl/>
                  </w:rPr>
                  <w:t>ה</w:t>
                </w:r>
                <w:r w:rsidR="008C4A8D" w:rsidRPr="00F62C73">
                  <w:rPr>
                    <w:rFonts w:ascii="Arial" w:hAnsi="Arial"/>
                    <w:b/>
                    <w:bCs/>
                    <w:noProof w:val="0"/>
                    <w:rtl/>
                  </w:rPr>
                  <w:t>משיב</w:t>
                </w:r>
                <w:r w:rsidR="00F62C73" w:rsidRPr="00F62C73">
                  <w:rPr>
                    <w:rFonts w:ascii="Arial" w:hAnsi="Arial" w:hint="cs"/>
                    <w:b/>
                    <w:bCs/>
                    <w:noProof w:val="0"/>
                    <w:rtl/>
                  </w:rPr>
                  <w:t>:</w:t>
                </w:r>
                <w:r w:rsidR="00F62C73" w:rsidRPr="00F62C73">
                  <w:rPr>
                    <w:rFonts w:ascii="Arial" w:hAnsi="Arial"/>
                    <w:b/>
                    <w:bCs/>
                    <w:noProof w:val="0"/>
                    <w:rtl/>
                  </w:rPr>
                  <w:br/>
                </w:r>
                <w:r w:rsidR="00F62C73" w:rsidRPr="00F62C73">
                  <w:rPr>
                    <w:rFonts w:hint="cs"/>
                    <w:b/>
                    <w:bCs/>
                    <w:rtl/>
                  </w:rPr>
                  <w:t>(התובע)</w:t>
                </w:r>
              </w:sdtContent>
            </w:sdt>
          </w:p>
        </w:tc>
        <w:tc>
          <w:tcPr>
            <w:tcW w:w="7230" w:type="dxa"/>
          </w:tcPr>
          <w:p w:rsidR="002914D6" w:rsidRPr="00D230CE" w:rsidRDefault="008D1009" w:rsidP="00F62C73">
            <w:pPr>
              <w:rPr>
                <w:b/>
                <w:bCs/>
                <w:noProof w:val="0"/>
                <w:rtl/>
              </w:rPr>
            </w:pPr>
            <w:sdt>
              <w:sdtPr>
                <w:rPr>
                  <w:rtl/>
                </w:rPr>
                <w:alias w:val="1486"/>
                <w:tag w:val="1486"/>
                <w:id w:val="2063827857"/>
                <w:text w:multiLine="1"/>
              </w:sdtPr>
              <w:sdtEndPr/>
              <w:sdtContent>
                <w:r w:rsidR="00F62C73">
                  <w:rPr>
                    <w:rFonts w:ascii="Arial" w:hAnsi="Arial" w:hint="cs"/>
                    <w:b/>
                    <w:bCs/>
                    <w:noProof w:val="0"/>
                    <w:rtl/>
                  </w:rPr>
                  <w:t>פלוני</w:t>
                </w:r>
              </w:sdtContent>
            </w:sdt>
            <w:sdt>
              <w:sdtPr>
                <w:rPr>
                  <w:b/>
                  <w:bCs/>
                  <w:rtl/>
                </w:rPr>
                <w:alias w:val="2318"/>
                <w:tag w:val="2318"/>
                <w:id w:val="-304548180"/>
                <w:text w:multiLine="1"/>
              </w:sdtPr>
              <w:sdtEndPr/>
              <w:sdtContent>
                <w:r w:rsidR="008C4A8D" w:rsidRPr="00D230CE">
                  <w:rPr>
                    <w:rFonts w:ascii="Arial" w:hAnsi="Arial"/>
                    <w:b/>
                    <w:bCs/>
                    <w:noProof w:val="0"/>
                    <w:rtl/>
                  </w:rPr>
                  <w:br/>
                </w:r>
                <w:r w:rsidR="008C4A8D" w:rsidRPr="00D230CE">
                  <w:rPr>
                    <w:rFonts w:hint="cs"/>
                    <w:b/>
                    <w:bCs/>
                    <w:rtl/>
                  </w:rPr>
                  <w:t>ע"י ב"כ עו"ד שמואל מורן ועו"</w:t>
                </w:r>
                <w:r w:rsidR="006A437E" w:rsidRPr="00D230CE">
                  <w:rPr>
                    <w:rFonts w:hint="cs"/>
                    <w:b/>
                    <w:bCs/>
                    <w:rtl/>
                  </w:rPr>
                  <w:t>ד איילת בלכר-</w:t>
                </w:r>
                <w:r w:rsidR="008C4A8D" w:rsidRPr="00D230CE">
                  <w:rPr>
                    <w:rFonts w:hint="cs"/>
                    <w:b/>
                    <w:bCs/>
                    <w:rtl/>
                  </w:rPr>
                  <w:t>פריגת</w:t>
                </w:r>
              </w:sdtContent>
            </w:sdt>
          </w:p>
        </w:tc>
      </w:tr>
    </w:tbl>
    <w:p w:rsidR="002914D6" w:rsidRPr="00F62C73"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99"/>
        <w:gridCol w:w="7221"/>
      </w:tblGrid>
      <w:tr w:rsidR="008C4A8D" w:rsidRPr="00D230CE" w:rsidTr="00F62C73">
        <w:trPr>
          <w:jc w:val="center"/>
        </w:trPr>
        <w:tc>
          <w:tcPr>
            <w:tcW w:w="1599" w:type="dxa"/>
          </w:tcPr>
          <w:p w:rsidR="008C4A8D" w:rsidRPr="00D230CE" w:rsidRDefault="008D1009" w:rsidP="008C4A8D">
            <w:pPr>
              <w:rPr>
                <w:rFonts w:ascii="Arial" w:hAnsi="Arial"/>
                <w:b/>
                <w:bCs/>
                <w:noProof w:val="0"/>
              </w:rPr>
            </w:pPr>
            <w:sdt>
              <w:sdtPr>
                <w:rPr>
                  <w:rtl/>
                </w:rPr>
                <w:alias w:val="1184"/>
                <w:tag w:val="1184"/>
                <w:id w:val="1392545289"/>
                <w:text w:multiLine="1"/>
              </w:sdtPr>
              <w:sdtEndPr/>
              <w:sdtContent>
                <w:r w:rsidR="008C4A8D" w:rsidRPr="00D230CE">
                  <w:rPr>
                    <w:rFonts w:ascii="Arial" w:hAnsi="Arial" w:hint="cs"/>
                    <w:b/>
                    <w:bCs/>
                    <w:noProof w:val="0"/>
                    <w:rtl/>
                  </w:rPr>
                  <w:t>בעניין הקטין</w:t>
                </w:r>
                <w:r w:rsidR="00F62C73">
                  <w:rPr>
                    <w:rFonts w:hint="cs"/>
                    <w:rtl/>
                  </w:rPr>
                  <w:t>:</w:t>
                </w:r>
              </w:sdtContent>
            </w:sdt>
          </w:p>
        </w:tc>
        <w:tc>
          <w:tcPr>
            <w:tcW w:w="7221" w:type="dxa"/>
          </w:tcPr>
          <w:p w:rsidR="008C4A8D" w:rsidRPr="00D230CE" w:rsidRDefault="008D1009" w:rsidP="00F62C73">
            <w:pPr>
              <w:rPr>
                <w:b/>
                <w:bCs/>
                <w:noProof w:val="0"/>
                <w:rtl/>
              </w:rPr>
            </w:pPr>
            <w:sdt>
              <w:sdtPr>
                <w:rPr>
                  <w:rtl/>
                </w:rPr>
                <w:alias w:val="1486"/>
                <w:tag w:val="1486"/>
                <w:id w:val="1351675181"/>
                <w:text w:multiLine="1"/>
              </w:sdtPr>
              <w:sdtEndPr/>
              <w:sdtContent>
                <w:r w:rsidR="00F62C73">
                  <w:rPr>
                    <w:rFonts w:ascii="Arial" w:hAnsi="Arial" w:hint="cs"/>
                    <w:b/>
                    <w:bCs/>
                    <w:noProof w:val="0"/>
                    <w:rtl/>
                  </w:rPr>
                  <w:t xml:space="preserve">קטין, יליד 2015 </w:t>
                </w:r>
              </w:sdtContent>
            </w:sdt>
            <w:sdt>
              <w:sdtPr>
                <w:rPr>
                  <w:b/>
                  <w:bCs/>
                  <w:rtl/>
                </w:rPr>
                <w:alias w:val="2318"/>
                <w:tag w:val="2318"/>
                <w:id w:val="-1837912855"/>
                <w:text w:multiLine="1"/>
              </w:sdtPr>
              <w:sdtEndPr/>
              <w:sdtContent>
                <w:r w:rsidR="00F62C73">
                  <w:rPr>
                    <w:rFonts w:ascii="Arial" w:hAnsi="Arial" w:hint="cs"/>
                    <w:b/>
                    <w:bCs/>
                    <w:noProof w:val="0"/>
                    <w:rtl/>
                  </w:rPr>
                  <w:t xml:space="preserve"> </w:t>
                </w:r>
                <w:r w:rsidR="008C4A8D" w:rsidRPr="00D230CE">
                  <w:rPr>
                    <w:rFonts w:ascii="Arial" w:hAnsi="Arial"/>
                    <w:b/>
                    <w:bCs/>
                    <w:noProof w:val="0"/>
                    <w:rtl/>
                  </w:rPr>
                  <w:br/>
                </w:r>
                <w:r w:rsidR="008C4A8D" w:rsidRPr="00D230CE">
                  <w:rPr>
                    <w:rFonts w:hint="cs"/>
                    <w:b/>
                    <w:bCs/>
                    <w:rtl/>
                  </w:rPr>
                  <w:t>באמצעות האפוטרופא לדין עו"ד מאיה חונג</w:t>
                </w:r>
                <w:r w:rsidR="0028289C" w:rsidRPr="00D230CE">
                  <w:rPr>
                    <w:rFonts w:hint="cs"/>
                    <w:b/>
                    <w:bCs/>
                    <w:rtl/>
                  </w:rPr>
                  <w:t>ר</w:t>
                </w:r>
              </w:sdtContent>
            </w:sdt>
          </w:p>
        </w:tc>
      </w:tr>
    </w:tbl>
    <w:p w:rsidR="006A437E" w:rsidRPr="00F62C73" w:rsidRDefault="006A437E" w:rsidP="0028289C">
      <w:pPr>
        <w:spacing w:line="360" w:lineRule="auto"/>
        <w:jc w:val="center"/>
        <w:rPr>
          <w:rFonts w:ascii="David" w:hAnsi="David"/>
          <w:b/>
          <w:bCs/>
          <w:sz w:val="20"/>
          <w:szCs w:val="20"/>
          <w:u w:val="single"/>
          <w:rtl/>
        </w:rPr>
      </w:pPr>
    </w:p>
    <w:p w:rsidR="0028289C" w:rsidRDefault="0028289C" w:rsidP="0028289C">
      <w:pPr>
        <w:spacing w:line="360" w:lineRule="auto"/>
        <w:jc w:val="center"/>
        <w:rPr>
          <w:rFonts w:ascii="David" w:hAnsi="David"/>
          <w:b/>
          <w:bCs/>
          <w:noProof w:val="0"/>
          <w:sz w:val="28"/>
          <w:szCs w:val="28"/>
          <w:u w:val="single"/>
        </w:rPr>
      </w:pPr>
      <w:r>
        <w:rPr>
          <w:rFonts w:ascii="David" w:hAnsi="David"/>
          <w:b/>
          <w:bCs/>
          <w:sz w:val="28"/>
          <w:szCs w:val="28"/>
          <w:u w:val="single"/>
          <w:rtl/>
        </w:rPr>
        <w:t>החלטה</w:t>
      </w:r>
    </w:p>
    <w:p w:rsidR="00D230CE" w:rsidRPr="00D230CE" w:rsidRDefault="00D230CE" w:rsidP="00D230CE">
      <w:pPr>
        <w:spacing w:line="360" w:lineRule="auto"/>
        <w:rPr>
          <w:rFonts w:ascii="David" w:hAnsi="David"/>
          <w:sz w:val="12"/>
          <w:szCs w:val="12"/>
          <w:rtl/>
        </w:rPr>
      </w:pPr>
    </w:p>
    <w:p w:rsidR="00F62C73" w:rsidRDefault="00D230CE" w:rsidP="00F62C73">
      <w:pPr>
        <w:spacing w:line="360" w:lineRule="auto"/>
        <w:jc w:val="both"/>
        <w:rPr>
          <w:rFonts w:ascii="David" w:hAnsi="David"/>
          <w:sz w:val="16"/>
          <w:szCs w:val="16"/>
          <w:rtl/>
        </w:rPr>
      </w:pPr>
      <w:r w:rsidRPr="00F62C73">
        <w:rPr>
          <w:rFonts w:ascii="David" w:hAnsi="David" w:hint="cs"/>
          <w:i/>
          <w:iCs/>
          <w:rtl/>
        </w:rPr>
        <w:t>האם יש לסלק על הסף תביעה לקביעת זמני שהות עם קטין שהגיש תובע אשר איננו אביו של הקטין? זו השאלה העומדת על הפרק.</w:t>
      </w:r>
    </w:p>
    <w:p w:rsidR="00F62C73" w:rsidRPr="00F62C73" w:rsidRDefault="00F62C73" w:rsidP="00F62C73">
      <w:pPr>
        <w:spacing w:line="360" w:lineRule="auto"/>
        <w:jc w:val="both"/>
        <w:rPr>
          <w:rFonts w:ascii="David" w:hAnsi="David"/>
          <w:i/>
          <w:iCs/>
          <w:rtl/>
        </w:rPr>
      </w:pPr>
      <w:r>
        <w:rPr>
          <w:rFonts w:ascii="David" w:hAnsi="David" w:hint="cs"/>
          <w:sz w:val="16"/>
          <w:szCs w:val="16"/>
          <w:rtl/>
        </w:rPr>
        <w:t>[הערה - השמות להלן הם שמות בדויים למניעת זיהוי]</w:t>
      </w:r>
    </w:p>
    <w:p w:rsidR="00F62C73" w:rsidRPr="00D230CE" w:rsidRDefault="00F62C73" w:rsidP="0028289C">
      <w:pPr>
        <w:spacing w:line="360" w:lineRule="auto"/>
        <w:rPr>
          <w:rFonts w:ascii="David" w:hAnsi="David"/>
          <w:sz w:val="16"/>
          <w:szCs w:val="16"/>
        </w:rPr>
      </w:pPr>
    </w:p>
    <w:p w:rsidR="0028289C" w:rsidRDefault="0028289C" w:rsidP="0028289C">
      <w:pPr>
        <w:spacing w:line="360" w:lineRule="auto"/>
        <w:jc w:val="both"/>
        <w:rPr>
          <w:rFonts w:ascii="David" w:hAnsi="David"/>
          <w:b/>
          <w:bCs/>
          <w:rtl/>
        </w:rPr>
      </w:pPr>
      <w:r>
        <w:rPr>
          <w:rFonts w:ascii="David" w:hAnsi="David"/>
          <w:b/>
          <w:bCs/>
          <w:rtl/>
        </w:rPr>
        <w:t>א' – העובדות הצריכות לעניין:</w:t>
      </w:r>
    </w:p>
    <w:p w:rsidR="00D230CE" w:rsidRPr="00D230CE" w:rsidRDefault="00D230CE" w:rsidP="0028289C">
      <w:pPr>
        <w:spacing w:line="360" w:lineRule="auto"/>
        <w:jc w:val="both"/>
        <w:rPr>
          <w:rFonts w:ascii="David" w:hAnsi="David"/>
          <w:b/>
          <w:bCs/>
          <w:sz w:val="16"/>
          <w:szCs w:val="16"/>
        </w:rPr>
      </w:pPr>
    </w:p>
    <w:p w:rsidR="0028289C" w:rsidRDefault="0028289C" w:rsidP="00F62C73">
      <w:pPr>
        <w:pStyle w:val="ac"/>
        <w:numPr>
          <w:ilvl w:val="0"/>
          <w:numId w:val="1"/>
        </w:numPr>
        <w:spacing w:line="360" w:lineRule="auto"/>
        <w:jc w:val="both"/>
        <w:rPr>
          <w:rFonts w:ascii="David" w:hAnsi="David" w:cs="David"/>
          <w:sz w:val="24"/>
          <w:szCs w:val="24"/>
        </w:rPr>
      </w:pPr>
      <w:r>
        <w:rPr>
          <w:rFonts w:ascii="David" w:hAnsi="David" w:cs="David"/>
          <w:sz w:val="24"/>
          <w:szCs w:val="24"/>
          <w:rtl/>
        </w:rPr>
        <w:t xml:space="preserve">המבקש והמשיבה (להלן: </w:t>
      </w:r>
      <w:r w:rsidRPr="00F62C73">
        <w:rPr>
          <w:rFonts w:ascii="Miriam" w:hAnsi="Miriam" w:cs="Miriam"/>
          <w:b/>
          <w:bCs/>
          <w:rtl/>
        </w:rPr>
        <w:t>האיש, האשה</w:t>
      </w:r>
      <w:r>
        <w:rPr>
          <w:rFonts w:ascii="David" w:hAnsi="David" w:cs="David"/>
          <w:sz w:val="24"/>
          <w:szCs w:val="24"/>
          <w:rtl/>
        </w:rPr>
        <w:t xml:space="preserve"> – בהתאמה) הם בני זוג לשעבר שלהם בן ביולוגי משותף בשם </w:t>
      </w:r>
      <w:r w:rsidR="00F62C73">
        <w:rPr>
          <w:rFonts w:ascii="David" w:hAnsi="David" w:cs="David" w:hint="cs"/>
          <w:sz w:val="24"/>
          <w:szCs w:val="24"/>
          <w:rtl/>
        </w:rPr>
        <w:t>אלון</w:t>
      </w:r>
      <w:r>
        <w:rPr>
          <w:rFonts w:ascii="David" w:hAnsi="David" w:cs="David"/>
          <w:sz w:val="24"/>
          <w:szCs w:val="24"/>
          <w:rtl/>
        </w:rPr>
        <w:t xml:space="preserve"> והוא בן כ 15.5 שנים (להלן: </w:t>
      </w:r>
      <w:r w:rsidRPr="00F62C73">
        <w:rPr>
          <w:rFonts w:ascii="Miriam" w:hAnsi="Miriam" w:cs="Miriam"/>
          <w:b/>
          <w:bCs/>
          <w:rtl/>
        </w:rPr>
        <w:t>א</w:t>
      </w:r>
      <w:r w:rsidR="00F62C73" w:rsidRPr="00F62C73">
        <w:rPr>
          <w:rFonts w:ascii="Miriam" w:hAnsi="Miriam" w:cs="Miriam"/>
          <w:b/>
          <w:bCs/>
          <w:rtl/>
        </w:rPr>
        <w:t>לון</w:t>
      </w:r>
      <w:r>
        <w:rPr>
          <w:rFonts w:ascii="David" w:hAnsi="David" w:cs="David"/>
          <w:sz w:val="24"/>
          <w:szCs w:val="24"/>
          <w:rtl/>
        </w:rPr>
        <w:t>). בין האיש לבין א</w:t>
      </w:r>
      <w:r w:rsidR="00F62C73">
        <w:rPr>
          <w:rFonts w:ascii="David" w:hAnsi="David" w:cs="David" w:hint="cs"/>
          <w:sz w:val="24"/>
          <w:szCs w:val="24"/>
          <w:rtl/>
        </w:rPr>
        <w:t>לון</w:t>
      </w:r>
      <w:r>
        <w:rPr>
          <w:rFonts w:ascii="David" w:hAnsi="David" w:cs="David"/>
          <w:sz w:val="24"/>
          <w:szCs w:val="24"/>
          <w:rtl/>
        </w:rPr>
        <w:t xml:space="preserve"> מתקיימים הסדרי שהות נרחבים (פעמיים באמצע השבוע כולל לינה וכל סופ"ש שני כולל לינה).</w:t>
      </w:r>
    </w:p>
    <w:p w:rsidR="0028289C" w:rsidRPr="00F62C73" w:rsidRDefault="0028289C" w:rsidP="0028289C">
      <w:pPr>
        <w:pStyle w:val="ac"/>
        <w:spacing w:line="360" w:lineRule="auto"/>
        <w:rPr>
          <w:rFonts w:ascii="David" w:hAnsi="David" w:cs="David"/>
          <w:sz w:val="16"/>
          <w:szCs w:val="16"/>
          <w:rtl/>
        </w:rPr>
      </w:pPr>
    </w:p>
    <w:p w:rsidR="0028289C" w:rsidRDefault="0028289C" w:rsidP="00F62C73">
      <w:pPr>
        <w:pStyle w:val="ac"/>
        <w:numPr>
          <w:ilvl w:val="0"/>
          <w:numId w:val="1"/>
        </w:numPr>
        <w:spacing w:after="0" w:line="360" w:lineRule="auto"/>
        <w:jc w:val="both"/>
        <w:rPr>
          <w:rFonts w:ascii="David" w:hAnsi="David" w:cs="David"/>
          <w:sz w:val="24"/>
          <w:szCs w:val="24"/>
          <w:rtl/>
        </w:rPr>
      </w:pPr>
      <w:r>
        <w:rPr>
          <w:rFonts w:ascii="David" w:hAnsi="David" w:cs="David"/>
          <w:sz w:val="24"/>
          <w:szCs w:val="24"/>
          <w:rtl/>
        </w:rPr>
        <w:t>לאחר גירושי הצדדים</w:t>
      </w:r>
      <w:r w:rsidR="00F62C73">
        <w:rPr>
          <w:rFonts w:ascii="David" w:hAnsi="David" w:cs="David" w:hint="cs"/>
          <w:sz w:val="24"/>
          <w:szCs w:val="24"/>
          <w:rtl/>
        </w:rPr>
        <w:t xml:space="preserve">, הרתה </w:t>
      </w:r>
      <w:r>
        <w:rPr>
          <w:rFonts w:ascii="David" w:hAnsi="David" w:cs="David"/>
          <w:sz w:val="24"/>
          <w:szCs w:val="24"/>
          <w:rtl/>
        </w:rPr>
        <w:t xml:space="preserve">האשה מתרומת זרע אנונימית וילדה את הקטין (להלן: </w:t>
      </w:r>
      <w:r w:rsidR="00F62C73">
        <w:rPr>
          <w:rFonts w:ascii="Miriam" w:hAnsi="Miriam" w:cs="Miriam" w:hint="cs"/>
          <w:b/>
          <w:bCs/>
          <w:rtl/>
        </w:rPr>
        <w:t>ערן</w:t>
      </w:r>
      <w:r w:rsidR="00F62C73" w:rsidRPr="00F62C73">
        <w:rPr>
          <w:rFonts w:ascii="Miriam" w:hAnsi="Miriam" w:cs="Miriam"/>
          <w:rtl/>
        </w:rPr>
        <w:t>/</w:t>
      </w:r>
      <w:r w:rsidR="00F62C73" w:rsidRPr="00F62C73">
        <w:rPr>
          <w:rFonts w:ascii="Miriam" w:hAnsi="Miriam" w:cs="Miriam"/>
          <w:b/>
          <w:bCs/>
          <w:rtl/>
        </w:rPr>
        <w:t>הקטין</w:t>
      </w:r>
      <w:r>
        <w:rPr>
          <w:rFonts w:ascii="David" w:hAnsi="David" w:cs="David"/>
          <w:sz w:val="24"/>
          <w:szCs w:val="24"/>
          <w:rtl/>
        </w:rPr>
        <w:t>) כיום בן 7.5</w:t>
      </w:r>
      <w:r w:rsidR="00F62C73">
        <w:rPr>
          <w:rFonts w:ascii="David" w:hAnsi="David" w:cs="David" w:hint="cs"/>
          <w:sz w:val="24"/>
          <w:szCs w:val="24"/>
          <w:rtl/>
        </w:rPr>
        <w:t>,</w:t>
      </w:r>
      <w:r>
        <w:rPr>
          <w:rFonts w:ascii="David" w:hAnsi="David" w:cs="David"/>
          <w:sz w:val="24"/>
          <w:szCs w:val="24"/>
          <w:rtl/>
        </w:rPr>
        <w:t xml:space="preserve"> בזמן שלא הייתה בקשר עם האיש. מלידתו ועד פרוץ הסכסוך, אפשרה האשה מפגשים בין הקטין לבין האיש, במסגרת הסדרי השהייה של הבן א</w:t>
      </w:r>
      <w:r w:rsidR="00F62C73">
        <w:rPr>
          <w:rFonts w:ascii="David" w:hAnsi="David" w:cs="David" w:hint="cs"/>
          <w:sz w:val="24"/>
          <w:szCs w:val="24"/>
          <w:rtl/>
        </w:rPr>
        <w:t>לון</w:t>
      </w:r>
      <w:r>
        <w:rPr>
          <w:rFonts w:ascii="David" w:hAnsi="David" w:cs="David"/>
          <w:sz w:val="24"/>
          <w:szCs w:val="24"/>
          <w:rtl/>
        </w:rPr>
        <w:t xml:space="preserve"> עם אביו וכדי לחזק את קשרי האחאות בין הבנים. האיש אוחז בבת מנישואים מאוחרים יותר (להלן: </w:t>
      </w:r>
      <w:r w:rsidR="00F62C73" w:rsidRPr="00F62C73">
        <w:rPr>
          <w:rFonts w:ascii="Miriam" w:hAnsi="Miriam" w:cs="Miriam"/>
          <w:b/>
          <w:bCs/>
          <w:rtl/>
        </w:rPr>
        <w:t>טלי</w:t>
      </w:r>
      <w:r>
        <w:rPr>
          <w:rFonts w:ascii="David" w:hAnsi="David" w:cs="David"/>
          <w:sz w:val="24"/>
          <w:szCs w:val="24"/>
          <w:rtl/>
        </w:rPr>
        <w:t xml:space="preserve">) אשר גם לקחה חלק באותם הסדרי שהייה. שני הצדדים חלוקים במידת מעורבותו של האיש בחייו של הקטין, ויחד עם זאת, אין חולק  כי החל משנות חייו הראשונות של הקטין, הוא נפגש עם האיש במסגרת משפחתית (יחד עם אחיו הגדול והבת </w:t>
      </w:r>
      <w:r w:rsidR="00F62C73">
        <w:rPr>
          <w:rFonts w:ascii="David" w:hAnsi="David" w:cs="David" w:hint="cs"/>
          <w:sz w:val="24"/>
          <w:szCs w:val="24"/>
          <w:rtl/>
        </w:rPr>
        <w:t>טלי</w:t>
      </w:r>
      <w:r>
        <w:rPr>
          <w:rFonts w:ascii="David" w:hAnsi="David" w:cs="David"/>
          <w:sz w:val="24"/>
          <w:szCs w:val="24"/>
          <w:rtl/>
        </w:rPr>
        <w:t xml:space="preserve">) ובין האיש לבין הבן מתקיימים סממנים לא מעטים המאפיינים בדר"כ קשר של אב-בן, כגון מעורבות בבית הספר, קבלת עדכונים הן מבית הספר וקודם לכך מהגן וכו', שם משפחתו של </w:t>
      </w:r>
      <w:r w:rsidR="00F62C73">
        <w:rPr>
          <w:rFonts w:ascii="David" w:hAnsi="David" w:cs="David" w:hint="cs"/>
          <w:sz w:val="24"/>
          <w:szCs w:val="24"/>
          <w:rtl/>
        </w:rPr>
        <w:t xml:space="preserve">הקטין </w:t>
      </w:r>
      <w:r>
        <w:rPr>
          <w:rFonts w:ascii="David" w:hAnsi="David" w:cs="David"/>
          <w:sz w:val="24"/>
          <w:szCs w:val="24"/>
          <w:rtl/>
        </w:rPr>
        <w:t xml:space="preserve">הוא </w:t>
      </w:r>
      <w:r w:rsidR="00F62C73">
        <w:rPr>
          <w:rFonts w:ascii="David" w:hAnsi="David" w:cs="David" w:hint="cs"/>
          <w:sz w:val="24"/>
          <w:szCs w:val="24"/>
          <w:rtl/>
        </w:rPr>
        <w:t xml:space="preserve">צירוף של שני שמות המשפחה של הצדדים, </w:t>
      </w:r>
      <w:r>
        <w:rPr>
          <w:rFonts w:ascii="David" w:hAnsi="David" w:cs="David"/>
          <w:sz w:val="24"/>
          <w:szCs w:val="24"/>
          <w:rtl/>
        </w:rPr>
        <w:t xml:space="preserve">והוא אף פונה אליו כאבא. </w:t>
      </w:r>
    </w:p>
    <w:p w:rsidR="0028289C" w:rsidRPr="00D230CE" w:rsidRDefault="0028289C" w:rsidP="0028289C">
      <w:pPr>
        <w:pStyle w:val="ac"/>
        <w:rPr>
          <w:rFonts w:ascii="David" w:hAnsi="David" w:cs="David"/>
          <w:sz w:val="16"/>
          <w:szCs w:val="16"/>
          <w:rtl/>
        </w:rPr>
      </w:pPr>
    </w:p>
    <w:p w:rsidR="00D230CE" w:rsidRPr="00D230CE" w:rsidRDefault="0028289C" w:rsidP="00D230CE">
      <w:pPr>
        <w:pStyle w:val="ac"/>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במסגרת הליך י"ס </w:t>
      </w:r>
      <w:sdt>
        <w:sdtPr>
          <w:rPr>
            <w:rFonts w:ascii="David" w:hAnsi="David" w:cs="David"/>
            <w:sz w:val="24"/>
            <w:szCs w:val="24"/>
            <w:rtl/>
          </w:rPr>
          <w:alias w:val="1171"/>
          <w:tag w:val="1171"/>
          <w:id w:val="1025217868"/>
          <w:text w:multiLine="1"/>
        </w:sdtPr>
        <w:sdtEndPr/>
        <w:sdtContent>
          <w:r>
            <w:rPr>
              <w:rFonts w:ascii="David" w:hAnsi="David" w:cs="David"/>
              <w:sz w:val="24"/>
              <w:szCs w:val="24"/>
              <w:rtl/>
            </w:rPr>
            <w:t>52775-11-22</w:t>
          </w:r>
        </w:sdtContent>
      </w:sdt>
      <w:r>
        <w:rPr>
          <w:rFonts w:ascii="David" w:hAnsi="David" w:cs="David"/>
          <w:sz w:val="24"/>
          <w:szCs w:val="24"/>
          <w:rtl/>
        </w:rPr>
        <w:t xml:space="preserve"> עתר האיש ליתן סעד לפי תקנה 12(א)(3) לתקנות להסדר התדיינויות בסכסוכי משפחה, תשע"ו – 2016, שעניינה הבטחת קשר של קטין </w:t>
      </w:r>
      <w:r>
        <w:rPr>
          <w:rFonts w:ascii="David" w:hAnsi="David" w:cs="David"/>
          <w:b/>
          <w:bCs/>
          <w:sz w:val="24"/>
          <w:szCs w:val="24"/>
          <w:rtl/>
        </w:rPr>
        <w:t xml:space="preserve">עם כל אחד מהוריו.  </w:t>
      </w:r>
      <w:r>
        <w:rPr>
          <w:rFonts w:ascii="David" w:hAnsi="David" w:cs="David"/>
          <w:sz w:val="24"/>
          <w:szCs w:val="24"/>
          <w:rtl/>
        </w:rPr>
        <w:t>כבר בהליך זה טענה האם כי לאיש אין כל מעמד והוא אינו עומד בתנאי הסף של התקנה כי הוא אינו הורה. בפסק דיני מיום 1.1.23 מצאתי לרשום: "</w:t>
      </w:r>
      <w:r>
        <w:rPr>
          <w:rFonts w:ascii="David" w:hAnsi="David" w:cs="David"/>
          <w:b/>
          <w:bCs/>
          <w:sz w:val="24"/>
          <w:szCs w:val="24"/>
          <w:rtl/>
        </w:rPr>
        <w:t>אני מודע לחלוטין לקושי המשפטי של האיש לכונן יחסי הורות משפטית עם הקטין (ר' והשווה: בע"מ 1118/14 פלונית נ' משרד הרווחה (נבו, 1.4.15) ממנו עולה רשימה סגורה לכינונם), ואולם אין משמעות הדבר כי האיש הוא בגדר אדם זר לקטין"</w:t>
      </w:r>
      <w:r w:rsidR="00D230CE">
        <w:rPr>
          <w:rFonts w:ascii="David" w:hAnsi="David" w:cs="David" w:hint="cs"/>
          <w:b/>
          <w:bCs/>
          <w:sz w:val="24"/>
          <w:szCs w:val="24"/>
          <w:rtl/>
        </w:rPr>
        <w:t>.</w:t>
      </w:r>
    </w:p>
    <w:p w:rsidR="0028289C" w:rsidRDefault="0028289C" w:rsidP="00F62C73">
      <w:pPr>
        <w:pStyle w:val="ac"/>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בנוסף </w:t>
      </w:r>
      <w:r w:rsidR="00D230CE">
        <w:rPr>
          <w:rFonts w:ascii="David" w:hAnsi="David" w:cs="David" w:hint="cs"/>
          <w:sz w:val="24"/>
          <w:szCs w:val="24"/>
          <w:rtl/>
        </w:rPr>
        <w:t xml:space="preserve">להתרשמותי, </w:t>
      </w:r>
      <w:r w:rsidR="00F62C73">
        <w:rPr>
          <w:rFonts w:ascii="David" w:hAnsi="David" w:cs="David" w:hint="cs"/>
          <w:sz w:val="24"/>
          <w:szCs w:val="24"/>
          <w:rtl/>
        </w:rPr>
        <w:t>ערן</w:t>
      </w:r>
      <w:r>
        <w:rPr>
          <w:rFonts w:ascii="David" w:hAnsi="David" w:cs="David"/>
          <w:sz w:val="24"/>
          <w:szCs w:val="24"/>
          <w:rtl/>
        </w:rPr>
        <w:t xml:space="preserve"> כן חפץ בקשר עם האיש ולכן קבעתי כי</w:t>
      </w:r>
      <w:r w:rsidR="00D230CE">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הפסקת הקשר בין האיש לבין הילד לא הייתה לטובתו של הילד וכפי שהתרשמה האפוט' לדין מעצם הפגיעה בקטין, כך התרשמתי אף אנוכי</w:t>
      </w:r>
      <w:r>
        <w:rPr>
          <w:rFonts w:ascii="David" w:hAnsi="David" w:cs="David"/>
          <w:sz w:val="24"/>
          <w:szCs w:val="24"/>
          <w:rtl/>
        </w:rPr>
        <w:t>"</w:t>
      </w:r>
      <w:r w:rsidR="00D230CE">
        <w:rPr>
          <w:rFonts w:ascii="David" w:hAnsi="David" w:cs="David" w:hint="cs"/>
          <w:sz w:val="24"/>
          <w:szCs w:val="24"/>
          <w:rtl/>
        </w:rPr>
        <w:t>.</w:t>
      </w:r>
      <w:r>
        <w:rPr>
          <w:rFonts w:ascii="David" w:hAnsi="David" w:cs="David"/>
          <w:sz w:val="24"/>
          <w:szCs w:val="24"/>
          <w:rtl/>
        </w:rPr>
        <w:t xml:space="preserve"> בהתאם לכך</w:t>
      </w:r>
      <w:r w:rsidR="00D230CE">
        <w:rPr>
          <w:rFonts w:ascii="David" w:hAnsi="David" w:cs="David" w:hint="cs"/>
          <w:sz w:val="24"/>
          <w:szCs w:val="24"/>
          <w:rtl/>
        </w:rPr>
        <w:t>,</w:t>
      </w:r>
      <w:r>
        <w:rPr>
          <w:rFonts w:ascii="David" w:hAnsi="David" w:cs="David"/>
          <w:sz w:val="24"/>
          <w:szCs w:val="24"/>
          <w:rtl/>
        </w:rPr>
        <w:t xml:space="preserve"> קבעתי כי האיש ייפגש עם </w:t>
      </w:r>
      <w:r w:rsidR="00F62C73">
        <w:rPr>
          <w:rFonts w:ascii="David" w:hAnsi="David" w:cs="David" w:hint="cs"/>
          <w:sz w:val="24"/>
          <w:szCs w:val="24"/>
          <w:rtl/>
        </w:rPr>
        <w:t>ערן</w:t>
      </w:r>
      <w:r>
        <w:rPr>
          <w:rFonts w:ascii="David" w:hAnsi="David" w:cs="David"/>
          <w:sz w:val="24"/>
          <w:szCs w:val="24"/>
          <w:rtl/>
        </w:rPr>
        <w:t xml:space="preserve"> אחת לשבוע למשך ארבע שעות, לתקופה של שלושה חודשים, בתקווה כי הצדדים יפעלו יחדיו לטובתו.</w:t>
      </w:r>
    </w:p>
    <w:p w:rsidR="0028289C" w:rsidRPr="00F62C73" w:rsidRDefault="0028289C" w:rsidP="0028289C">
      <w:pPr>
        <w:pStyle w:val="ac"/>
        <w:rPr>
          <w:rFonts w:ascii="David" w:hAnsi="David" w:cs="David"/>
          <w:sz w:val="16"/>
          <w:szCs w:val="16"/>
        </w:rPr>
      </w:pPr>
    </w:p>
    <w:p w:rsidR="0028289C" w:rsidRDefault="0028289C" w:rsidP="00F62C73">
      <w:pPr>
        <w:pStyle w:val="ac"/>
        <w:numPr>
          <w:ilvl w:val="0"/>
          <w:numId w:val="1"/>
        </w:numPr>
        <w:spacing w:after="0" w:line="360" w:lineRule="auto"/>
        <w:jc w:val="both"/>
        <w:rPr>
          <w:rFonts w:ascii="David" w:hAnsi="David" w:cs="David"/>
          <w:sz w:val="24"/>
          <w:szCs w:val="24"/>
        </w:rPr>
      </w:pPr>
      <w:r>
        <w:rPr>
          <w:rFonts w:ascii="David" w:hAnsi="David" w:cs="David"/>
          <w:sz w:val="24"/>
          <w:szCs w:val="24"/>
          <w:rtl/>
        </w:rPr>
        <w:t>לאחר תשעה מפגשים, שגם הם היו לא בלי קושי, רשמה האפוט</w:t>
      </w:r>
      <w:r w:rsidR="00F62C73">
        <w:rPr>
          <w:rFonts w:ascii="David" w:hAnsi="David" w:cs="David" w:hint="cs"/>
          <w:sz w:val="24"/>
          <w:szCs w:val="24"/>
          <w:rtl/>
        </w:rPr>
        <w:t xml:space="preserve">' </w:t>
      </w:r>
      <w:r>
        <w:rPr>
          <w:rFonts w:ascii="David" w:hAnsi="David" w:cs="David"/>
          <w:sz w:val="24"/>
          <w:szCs w:val="24"/>
          <w:rtl/>
        </w:rPr>
        <w:t xml:space="preserve">לדין כי </w:t>
      </w:r>
      <w:r w:rsidR="00F62C73">
        <w:rPr>
          <w:rFonts w:ascii="David" w:hAnsi="David" w:cs="David" w:hint="cs"/>
          <w:sz w:val="24"/>
          <w:szCs w:val="24"/>
          <w:rtl/>
        </w:rPr>
        <w:t>ערן</w:t>
      </w:r>
      <w:r>
        <w:rPr>
          <w:rFonts w:ascii="David" w:hAnsi="David" w:cs="David"/>
          <w:sz w:val="24"/>
          <w:szCs w:val="24"/>
          <w:rtl/>
        </w:rPr>
        <w:t xml:space="preserve"> נמצא בעין הסערה וכי המצב השורר אינו מטיב עמו. בהחלטתי מיום 4.4.2023 קבעתי כי יש להפסיק את המפגשים כעת ש</w:t>
      </w:r>
      <w:r w:rsidR="00F62C73">
        <w:rPr>
          <w:rFonts w:ascii="David" w:hAnsi="David" w:cs="David" w:hint="cs"/>
          <w:sz w:val="24"/>
          <w:szCs w:val="24"/>
          <w:rtl/>
        </w:rPr>
        <w:t>הקטין</w:t>
      </w:r>
      <w:r>
        <w:rPr>
          <w:rFonts w:ascii="David" w:hAnsi="David" w:cs="David"/>
          <w:sz w:val="24"/>
          <w:szCs w:val="24"/>
          <w:rtl/>
        </w:rPr>
        <w:t xml:space="preserve"> נמצא "בצבת" בין אמו לבין האיש</w:t>
      </w:r>
      <w:r w:rsidR="00F62C73">
        <w:rPr>
          <w:rFonts w:ascii="David" w:hAnsi="David" w:cs="David" w:hint="cs"/>
          <w:sz w:val="24"/>
          <w:szCs w:val="24"/>
          <w:rtl/>
        </w:rPr>
        <w:t>,</w:t>
      </w:r>
      <w:r>
        <w:rPr>
          <w:rFonts w:ascii="David" w:hAnsi="David" w:cs="David"/>
          <w:sz w:val="24"/>
          <w:szCs w:val="24"/>
          <w:rtl/>
        </w:rPr>
        <w:t xml:space="preserve"> </w:t>
      </w:r>
      <w:r w:rsidR="00F62C73">
        <w:rPr>
          <w:rFonts w:ascii="David" w:hAnsi="David" w:cs="David" w:hint="cs"/>
          <w:sz w:val="24"/>
          <w:szCs w:val="24"/>
          <w:rtl/>
        </w:rPr>
        <w:t xml:space="preserve">צבת </w:t>
      </w:r>
      <w:r>
        <w:rPr>
          <w:rFonts w:ascii="David" w:hAnsi="David" w:cs="David"/>
          <w:sz w:val="24"/>
          <w:szCs w:val="24"/>
          <w:rtl/>
        </w:rPr>
        <w:t>אשר גדולה מכוחותיו. משהצדדים לא הצליחו להגיע להבנות ולא הצליחו להוריד את גובה הלהבות, הוגשה התביעה שבכותרת ומכאן בקשת האישה לדחייה על הסף.</w:t>
      </w:r>
    </w:p>
    <w:p w:rsidR="0028289C" w:rsidRPr="00D230CE" w:rsidRDefault="0028289C" w:rsidP="0028289C">
      <w:pPr>
        <w:pStyle w:val="ac"/>
        <w:spacing w:after="0" w:line="360" w:lineRule="auto"/>
        <w:ind w:left="360"/>
        <w:jc w:val="both"/>
        <w:rPr>
          <w:rFonts w:ascii="David" w:hAnsi="David" w:cs="David"/>
          <w:sz w:val="16"/>
          <w:szCs w:val="16"/>
        </w:rPr>
      </w:pPr>
    </w:p>
    <w:p w:rsidR="00D230CE" w:rsidRDefault="0028289C" w:rsidP="00D230CE">
      <w:pPr>
        <w:spacing w:line="360" w:lineRule="auto"/>
        <w:jc w:val="both"/>
        <w:rPr>
          <w:rFonts w:ascii="David" w:hAnsi="David"/>
          <w:b/>
          <w:bCs/>
          <w:rtl/>
        </w:rPr>
      </w:pPr>
      <w:r>
        <w:rPr>
          <w:rFonts w:ascii="David" w:hAnsi="David"/>
          <w:b/>
          <w:bCs/>
          <w:rtl/>
        </w:rPr>
        <w:t>ב' – דיון:</w:t>
      </w:r>
    </w:p>
    <w:p w:rsidR="002A7B96" w:rsidRPr="002A7B96" w:rsidRDefault="002A7B96" w:rsidP="00D230CE">
      <w:pPr>
        <w:spacing w:line="360" w:lineRule="auto"/>
        <w:jc w:val="both"/>
        <w:rPr>
          <w:rFonts w:ascii="David" w:hAnsi="David"/>
          <w:b/>
          <w:bCs/>
          <w:sz w:val="16"/>
          <w:szCs w:val="16"/>
          <w:rtl/>
        </w:rPr>
      </w:pPr>
    </w:p>
    <w:p w:rsidR="0028289C" w:rsidRDefault="0028289C" w:rsidP="00F62C73">
      <w:pPr>
        <w:numPr>
          <w:ilvl w:val="0"/>
          <w:numId w:val="1"/>
        </w:numPr>
        <w:spacing w:line="360" w:lineRule="auto"/>
        <w:ind w:left="567" w:hanging="567"/>
        <w:contextualSpacing/>
        <w:jc w:val="both"/>
        <w:rPr>
          <w:rFonts w:ascii="David" w:hAnsi="David"/>
          <w:b/>
          <w:bCs/>
          <w:rtl/>
        </w:rPr>
      </w:pPr>
      <w:r>
        <w:rPr>
          <w:rFonts w:ascii="David" w:hAnsi="David"/>
          <w:rtl/>
        </w:rPr>
        <w:t xml:space="preserve">בדיון בפניי טענה האישה כי האיש יצר "ייצור כלאיים" עת ביקש לקבל באותה תביעה גם הכרה בזכות הורית על </w:t>
      </w:r>
      <w:r w:rsidR="00F62C73">
        <w:rPr>
          <w:rFonts w:ascii="David" w:hAnsi="David" w:hint="cs"/>
          <w:rtl/>
        </w:rPr>
        <w:t>ערן</w:t>
      </w:r>
      <w:r>
        <w:rPr>
          <w:rFonts w:ascii="David" w:hAnsi="David"/>
          <w:rtl/>
        </w:rPr>
        <w:t xml:space="preserve"> וגם הסדרי ראייה, ואילו הסדר הנכון היה לפעול להכרה בזכות זו בתביעה לקבלת צו הורות שכן אין בינו לבין </w:t>
      </w:r>
      <w:r w:rsidR="00F62C73">
        <w:rPr>
          <w:rFonts w:ascii="David" w:hAnsi="David" w:hint="cs"/>
          <w:rtl/>
        </w:rPr>
        <w:t>ערן</w:t>
      </w:r>
      <w:r>
        <w:rPr>
          <w:rFonts w:ascii="David" w:hAnsi="David"/>
          <w:rtl/>
        </w:rPr>
        <w:t xml:space="preserve"> אף זיקה ולכן מתוקף מה יקבל זכות זו. האישה מזהירה ממדרון חלקלק שבו כל אדם שהיה בקשר קרוב עם קטין יוכל בעת סכסוך עם הוריו של הקטין לדרוש זכויות שיובילו "לכאוס". האישה מוסיפה כי האיש זכה בזמני שהות זמנים תוך ניצול מטעה של החוק להסדר התדיינות במשפחה וכעת יש לתקן את הפגם שנפל ביסוד ההליך. האיש אינו חוסה תחת החוק הכשרות והאפוטרופסות כיוון שאינו הורה ואף לא הוכיח שום זיקה ל</w:t>
      </w:r>
      <w:r w:rsidR="00F62C73">
        <w:rPr>
          <w:rFonts w:ascii="David" w:hAnsi="David" w:hint="cs"/>
          <w:rtl/>
        </w:rPr>
        <w:t>ערן</w:t>
      </w:r>
      <w:r>
        <w:rPr>
          <w:rFonts w:ascii="David" w:hAnsi="David"/>
          <w:rtl/>
        </w:rPr>
        <w:t xml:space="preserve"> ולכן אין סמכות לדון בתביעה. האישה טוענת כי כל עוד לא ייקבע מעמד האיש כאבי הקטין אין ולא ניתן יהיה לנהל את ההליך דנן, ואין בשלל הדוגמאות שסיפק האיש על יחסים בינו לבין הקטין כדי להקנות מעמד. </w:t>
      </w:r>
    </w:p>
    <w:p w:rsidR="0028289C" w:rsidRPr="002A7B96" w:rsidRDefault="0028289C" w:rsidP="0028289C">
      <w:pPr>
        <w:spacing w:line="360" w:lineRule="auto"/>
        <w:ind w:left="567"/>
        <w:contextualSpacing/>
        <w:jc w:val="both"/>
        <w:rPr>
          <w:rFonts w:ascii="David" w:hAnsi="David"/>
          <w:b/>
          <w:bCs/>
          <w:sz w:val="16"/>
          <w:szCs w:val="16"/>
          <w:rtl/>
        </w:rPr>
      </w:pPr>
    </w:p>
    <w:p w:rsidR="002A7B96" w:rsidRPr="002A7B96" w:rsidRDefault="0028289C" w:rsidP="00F62C73">
      <w:pPr>
        <w:numPr>
          <w:ilvl w:val="0"/>
          <w:numId w:val="1"/>
        </w:numPr>
        <w:spacing w:line="360" w:lineRule="auto"/>
        <w:ind w:left="567" w:hanging="567"/>
        <w:contextualSpacing/>
        <w:jc w:val="both"/>
        <w:rPr>
          <w:rFonts w:ascii="David" w:hAnsi="David"/>
          <w:b/>
          <w:bCs/>
        </w:rPr>
      </w:pPr>
      <w:r>
        <w:rPr>
          <w:rFonts w:ascii="David" w:hAnsi="David"/>
          <w:rtl/>
        </w:rPr>
        <w:t>לטענת האיש</w:t>
      </w:r>
      <w:r>
        <w:rPr>
          <w:rFonts w:ascii="David" w:hAnsi="David"/>
          <w:b/>
          <w:bCs/>
          <w:rtl/>
        </w:rPr>
        <w:t xml:space="preserve"> </w:t>
      </w:r>
      <w:r>
        <w:rPr>
          <w:rFonts w:ascii="David" w:hAnsi="David"/>
          <w:rtl/>
        </w:rPr>
        <w:t>המסגרת המשפטית אליה מכוונת האישה היא מוטע</w:t>
      </w:r>
      <w:r w:rsidR="00F62C73">
        <w:rPr>
          <w:rFonts w:ascii="David" w:hAnsi="David" w:hint="cs"/>
          <w:rtl/>
        </w:rPr>
        <w:t>ית</w:t>
      </w:r>
      <w:r>
        <w:rPr>
          <w:rFonts w:ascii="David" w:hAnsi="David"/>
          <w:rtl/>
        </w:rPr>
        <w:t xml:space="preserve">, שכן לא תיתכן דחייה על הסף, אלא לכל היותר מחיקה על הסף כיוון, שלטענתה, אין התביעה מגלה עילת תביעה בעוד שדחייה על הסף הוא סעד קיצוני ביותר הננקט רק מקום שאין אפשרות ולו קלושה כי התובע יזכה בסעד המבוקש. המקרה של האיש ולפי קביעות בית המשפט הקודמות בעניינו אינו יכול להימנות על אותם מקרים נדירים שמצריכים סעד כה קיצוני. לטענת האיש קביעות בית המשפט לעניין הזיקה והקרבה בינו לבין </w:t>
      </w:r>
      <w:r w:rsidR="00F62C73">
        <w:rPr>
          <w:rFonts w:ascii="David" w:hAnsi="David" w:hint="cs"/>
          <w:rtl/>
        </w:rPr>
        <w:t>ערן</w:t>
      </w:r>
      <w:r>
        <w:rPr>
          <w:rFonts w:ascii="David" w:hAnsi="David"/>
          <w:rtl/>
        </w:rPr>
        <w:t xml:space="preserve"> היו ברורות, וכן גם הראיות שהובאו במסגרת התביעה דנן, ולכן טענות האישה מתעלמות משני הנדבכים. כמו כן בהחלטה מיום 9.1.23 נקבע על ידי בית המשפט כי </w:t>
      </w:r>
      <w:r>
        <w:rPr>
          <w:rFonts w:ascii="David" w:hAnsi="David"/>
          <w:b/>
          <w:bCs/>
          <w:rtl/>
        </w:rPr>
        <w:t xml:space="preserve">"האם פעלה הלכה למעשה לכינון יחסי הורות או יחסי דמויי הורות בין הקטין לבין האיש... ואילו כעת היא מבקשת למחוק ביד זריזה כל סממן לקשר זה". </w:t>
      </w:r>
      <w:r>
        <w:rPr>
          <w:rFonts w:ascii="David" w:hAnsi="David"/>
          <w:rtl/>
        </w:rPr>
        <w:t>מבחינה משפטית נשענת תביעת האיש על כמה אדנים שונים כגון טובת הילד כנגזרת של חוק הכשרות המשפטית</w:t>
      </w:r>
      <w:r w:rsidR="00F62C73">
        <w:rPr>
          <w:rFonts w:ascii="David" w:hAnsi="David"/>
          <w:rtl/>
        </w:rPr>
        <w:t xml:space="preserve"> והאפוטרופסות, תשכ"ב- 1962 (להל</w:t>
      </w:r>
      <w:r w:rsidR="00F62C73">
        <w:rPr>
          <w:rFonts w:ascii="David" w:hAnsi="David" w:hint="cs"/>
          <w:rtl/>
        </w:rPr>
        <w:t xml:space="preserve">ן: </w:t>
      </w:r>
      <w:r w:rsidR="00F62C73" w:rsidRPr="00F62C73">
        <w:rPr>
          <w:rFonts w:ascii="Miriam" w:hAnsi="Miriam" w:cs="Miriam"/>
          <w:b/>
          <w:bCs/>
          <w:sz w:val="22"/>
          <w:szCs w:val="22"/>
          <w:rtl/>
        </w:rPr>
        <w:t>ח</w:t>
      </w:r>
      <w:r w:rsidRPr="00F62C73">
        <w:rPr>
          <w:rFonts w:ascii="Miriam" w:hAnsi="Miriam" w:cs="Miriam"/>
          <w:b/>
          <w:bCs/>
          <w:sz w:val="22"/>
          <w:szCs w:val="22"/>
          <w:rtl/>
        </w:rPr>
        <w:t>וק הכשרות</w:t>
      </w:r>
      <w:r>
        <w:rPr>
          <w:rFonts w:ascii="David" w:hAnsi="David"/>
          <w:rtl/>
        </w:rPr>
        <w:t>), זכויות הילד כפי שאלו מעוגנות באמנה לזכויות הילד לרבות זכותו לשמור על מרכיבי זהותו. כמו כן קיימות זכויותיו של הורה פסיכולוגי/תפקודי</w:t>
      </w:r>
      <w:r w:rsidRPr="00F62C73">
        <w:rPr>
          <w:rFonts w:ascii="David" w:hAnsi="David"/>
          <w:rtl/>
        </w:rPr>
        <w:t>,</w:t>
      </w:r>
      <w:r>
        <w:rPr>
          <w:rFonts w:ascii="David" w:hAnsi="David"/>
          <w:b/>
          <w:bCs/>
          <w:rtl/>
        </w:rPr>
        <w:t xml:space="preserve"> </w:t>
      </w:r>
      <w:r>
        <w:rPr>
          <w:rFonts w:ascii="David" w:hAnsi="David"/>
          <w:rtl/>
        </w:rPr>
        <w:t xml:space="preserve">אשר הוכרה בפסיקה </w:t>
      </w:r>
      <w:r w:rsidR="00F62C73">
        <w:rPr>
          <w:rFonts w:ascii="David" w:hAnsi="David" w:hint="cs"/>
          <w:rtl/>
        </w:rPr>
        <w:t>ו</w:t>
      </w:r>
      <w:r>
        <w:rPr>
          <w:rFonts w:ascii="David" w:hAnsi="David"/>
          <w:rtl/>
        </w:rPr>
        <w:t>בחשיבותו של הקשר הרגשי שנוצר בין הילד לבין הדמות המטפלת והדואגת לו.</w:t>
      </w:r>
    </w:p>
    <w:p w:rsidR="0028289C" w:rsidRDefault="0028289C" w:rsidP="00F62C73">
      <w:pPr>
        <w:spacing w:line="360" w:lineRule="auto"/>
        <w:ind w:left="567"/>
        <w:contextualSpacing/>
        <w:jc w:val="both"/>
        <w:rPr>
          <w:rFonts w:ascii="David" w:hAnsi="David"/>
          <w:b/>
          <w:bCs/>
        </w:rPr>
      </w:pPr>
      <w:r>
        <w:rPr>
          <w:rFonts w:ascii="David" w:hAnsi="David"/>
          <w:rtl/>
        </w:rPr>
        <w:lastRenderedPageBreak/>
        <w:t>מכוח מעמד זה נקבע כי עשויות לקום לאדם זכויות וגם חובות כלפי ילד שאינו ילדו הביולוגי</w:t>
      </w:r>
      <w:r w:rsidR="00F62C73">
        <w:rPr>
          <w:rFonts w:ascii="David" w:hAnsi="David" w:hint="cs"/>
          <w:rtl/>
        </w:rPr>
        <w:t>,</w:t>
      </w:r>
      <w:r>
        <w:rPr>
          <w:rFonts w:ascii="David" w:hAnsi="David"/>
          <w:rtl/>
        </w:rPr>
        <w:t xml:space="preserve"> בכפוף לעיקרון טובת הילד. כמו כן, עיקרון טובת הילד בהתאם לסעיף 68(א) לחוק הכשרות מורה כי בית המשפט רשאי לבקשת צד מעוניין ליתן כל צו לשמירת עניינו של הקטין. הזכות להסדרי השהות היא גם של </w:t>
      </w:r>
      <w:r w:rsidR="00F62C73">
        <w:rPr>
          <w:rFonts w:ascii="David" w:hAnsi="David" w:hint="cs"/>
          <w:rtl/>
        </w:rPr>
        <w:t>ערן,</w:t>
      </w:r>
      <w:r>
        <w:rPr>
          <w:rFonts w:ascii="David" w:hAnsi="David"/>
          <w:rtl/>
        </w:rPr>
        <w:t xml:space="preserve"> שנפגע עמוקות מקטיעת הקשר כליל עם האיש וזכות זו מעוגנת</w:t>
      </w:r>
      <w:r w:rsidR="00F62C73">
        <w:rPr>
          <w:rFonts w:ascii="David" w:hAnsi="David" w:hint="cs"/>
          <w:rtl/>
        </w:rPr>
        <w:t>,</w:t>
      </w:r>
      <w:r>
        <w:rPr>
          <w:rFonts w:ascii="David" w:hAnsi="David"/>
          <w:rtl/>
        </w:rPr>
        <w:t xml:space="preserve"> לטענת האיש</w:t>
      </w:r>
      <w:r w:rsidR="00F62C73">
        <w:rPr>
          <w:rFonts w:ascii="David" w:hAnsi="David" w:hint="cs"/>
          <w:rtl/>
        </w:rPr>
        <w:t>,</w:t>
      </w:r>
      <w:r>
        <w:rPr>
          <w:rFonts w:ascii="David" w:hAnsi="David"/>
          <w:rtl/>
        </w:rPr>
        <w:t xml:space="preserve"> בפסיקה עניפה שלאורך השנים הרחיבה את הפרשנות לזכות הילד לקשרי משפחה עם קרוביו גם כחלק מחובות הוריו כלפיו. בנוסף ניתן לראות את האיש כ"ידיד קרוב" אשר מתוקף סעיף 3(ד) לחוק בתי המשפט לענייני משפחה תשנ"ה- 1995 מאפשר הגשת תובענות בכל עניין בו עלולה להיפגע זכות. בנוסף מפנה האיש לפסיקה בעניין המשקל שיש לתת לעקרון האחאות כפי שזה מתפרש מכח עקרון העל של טובת הילד. לטענת האיש, האישה מערימה קשיים על בדיקת טובתו של הקטין ובכך לא מאפשרת הלכה למעשה את בירור התביעה לגופה אך בו ועת טוענת לסילוק על הסף.</w:t>
      </w:r>
    </w:p>
    <w:p w:rsidR="0028289C" w:rsidRPr="002A7B96" w:rsidRDefault="0028289C" w:rsidP="0028289C">
      <w:pPr>
        <w:spacing w:line="360" w:lineRule="auto"/>
        <w:ind w:left="567"/>
        <w:contextualSpacing/>
        <w:jc w:val="both"/>
        <w:rPr>
          <w:rFonts w:ascii="David" w:hAnsi="David"/>
          <w:b/>
          <w:bCs/>
          <w:sz w:val="16"/>
          <w:szCs w:val="16"/>
          <w:rtl/>
        </w:rPr>
      </w:pPr>
    </w:p>
    <w:p w:rsidR="0028289C" w:rsidRDefault="002A7B96" w:rsidP="002A7B96">
      <w:pPr>
        <w:spacing w:line="360" w:lineRule="auto"/>
        <w:jc w:val="both"/>
        <w:rPr>
          <w:rFonts w:ascii="David" w:hAnsi="David"/>
          <w:b/>
          <w:bCs/>
        </w:rPr>
      </w:pPr>
      <w:r>
        <w:rPr>
          <w:rFonts w:ascii="David" w:hAnsi="David" w:hint="cs"/>
          <w:b/>
          <w:bCs/>
          <w:rtl/>
        </w:rPr>
        <w:t xml:space="preserve">ב.1. - </w:t>
      </w:r>
      <w:r w:rsidR="0028289C">
        <w:rPr>
          <w:rFonts w:ascii="David" w:hAnsi="David"/>
          <w:b/>
          <w:bCs/>
          <w:rtl/>
        </w:rPr>
        <w:t xml:space="preserve">סילוק על הסף </w:t>
      </w:r>
      <w:r>
        <w:rPr>
          <w:rFonts w:ascii="David" w:hAnsi="David" w:hint="cs"/>
          <w:b/>
          <w:bCs/>
          <w:rtl/>
        </w:rPr>
        <w:t xml:space="preserve">- </w:t>
      </w:r>
      <w:r w:rsidR="00F62C73">
        <w:rPr>
          <w:rFonts w:ascii="David" w:hAnsi="David" w:hint="cs"/>
          <w:b/>
          <w:bCs/>
          <w:rtl/>
        </w:rPr>
        <w:t>ה</w:t>
      </w:r>
      <w:r w:rsidR="0028289C">
        <w:rPr>
          <w:rFonts w:ascii="David" w:hAnsi="David"/>
          <w:b/>
          <w:bCs/>
          <w:rtl/>
        </w:rPr>
        <w:t>מסגרת נורמטיבית</w:t>
      </w:r>
      <w:r>
        <w:rPr>
          <w:rFonts w:ascii="David" w:hAnsi="David" w:hint="cs"/>
          <w:b/>
          <w:bCs/>
          <w:rtl/>
        </w:rPr>
        <w:t>:</w:t>
      </w:r>
    </w:p>
    <w:p w:rsidR="0028289C" w:rsidRPr="00F62C73" w:rsidRDefault="0028289C" w:rsidP="0028289C">
      <w:pPr>
        <w:spacing w:line="360" w:lineRule="auto"/>
        <w:jc w:val="both"/>
        <w:rPr>
          <w:rFonts w:ascii="David" w:hAnsi="David"/>
          <w:b/>
          <w:bCs/>
          <w:sz w:val="16"/>
          <w:szCs w:val="16"/>
        </w:rPr>
      </w:pPr>
    </w:p>
    <w:p w:rsidR="0028289C" w:rsidRDefault="0028289C" w:rsidP="00F62C73">
      <w:pPr>
        <w:pStyle w:val="ac"/>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סילוקה על הסף של תביעה נחשב</w:t>
      </w:r>
      <w:r w:rsidR="00F62C73">
        <w:rPr>
          <w:rFonts w:ascii="David" w:hAnsi="David" w:cs="David" w:hint="cs"/>
          <w:sz w:val="24"/>
          <w:szCs w:val="24"/>
          <w:rtl/>
        </w:rPr>
        <w:t>ת</w:t>
      </w:r>
      <w:r>
        <w:rPr>
          <w:rFonts w:ascii="David" w:hAnsi="David" w:cs="David"/>
          <w:sz w:val="24"/>
          <w:szCs w:val="24"/>
          <w:rtl/>
        </w:rPr>
        <w:t xml:space="preserve"> מהסעדים הקיצוניים ביותר אשר תוצאתו מחיקה או דחייה של תובענה בטרם זו התבררה לגופה, ולפיכך יש לתת סעד זה רק באותם מקרים בהם ברור על הפני הדברים כי גם אם יוכח מלוא הנטען בכתב התביעה</w:t>
      </w:r>
      <w:r w:rsidR="00F62C73">
        <w:rPr>
          <w:rFonts w:ascii="David" w:hAnsi="David" w:cs="David" w:hint="cs"/>
          <w:sz w:val="24"/>
          <w:szCs w:val="24"/>
          <w:rtl/>
        </w:rPr>
        <w:t>,</w:t>
      </w:r>
      <w:r>
        <w:rPr>
          <w:rFonts w:ascii="David" w:hAnsi="David" w:cs="David"/>
          <w:sz w:val="24"/>
          <w:szCs w:val="24"/>
          <w:rtl/>
        </w:rPr>
        <w:t xml:space="preserve"> אין כל אפשרות</w:t>
      </w:r>
      <w:r w:rsidR="00F62C73">
        <w:rPr>
          <w:rFonts w:ascii="David" w:hAnsi="David" w:cs="David" w:hint="cs"/>
          <w:sz w:val="24"/>
          <w:szCs w:val="24"/>
          <w:rtl/>
        </w:rPr>
        <w:t>,</w:t>
      </w:r>
      <w:r>
        <w:rPr>
          <w:rFonts w:ascii="David" w:hAnsi="David" w:cs="David"/>
          <w:sz w:val="24"/>
          <w:szCs w:val="24"/>
          <w:rtl/>
        </w:rPr>
        <w:t xml:space="preserve"> ולו הקלושה ביותר</w:t>
      </w:r>
      <w:r w:rsidR="00F62C73">
        <w:rPr>
          <w:rFonts w:ascii="David" w:hAnsi="David" w:cs="David" w:hint="cs"/>
          <w:sz w:val="24"/>
          <w:szCs w:val="24"/>
          <w:rtl/>
        </w:rPr>
        <w:t>,</w:t>
      </w:r>
      <w:r>
        <w:rPr>
          <w:rFonts w:ascii="David" w:hAnsi="David" w:cs="David"/>
          <w:sz w:val="24"/>
          <w:szCs w:val="24"/>
          <w:rtl/>
        </w:rPr>
        <w:t xml:space="preserve"> כי יעלה בידי התובע לקבל את הסעד לו עתר (רע"א 5464/22</w:t>
      </w:r>
      <w:r>
        <w:rPr>
          <w:rFonts w:ascii="David" w:hAnsi="David" w:cs="David"/>
          <w:b/>
          <w:bCs/>
          <w:sz w:val="24"/>
          <w:szCs w:val="24"/>
          <w:rtl/>
        </w:rPr>
        <w:t xml:space="preserve"> דרור לדרמן נ' עיריית קרית גת, </w:t>
      </w:r>
      <w:r>
        <w:rPr>
          <w:rFonts w:ascii="David" w:hAnsi="David" w:cs="David"/>
          <w:sz w:val="24"/>
          <w:szCs w:val="24"/>
          <w:rtl/>
        </w:rPr>
        <w:t>(פורסם בנבו</w:t>
      </w:r>
      <w:r w:rsidR="00F62C73">
        <w:rPr>
          <w:rFonts w:ascii="David" w:hAnsi="David" w:cs="David" w:hint="cs"/>
          <w:sz w:val="24"/>
          <w:szCs w:val="24"/>
          <w:rtl/>
        </w:rPr>
        <w:t>,</w:t>
      </w:r>
      <w:r>
        <w:rPr>
          <w:rFonts w:ascii="David" w:hAnsi="David" w:cs="David"/>
          <w:sz w:val="24"/>
          <w:szCs w:val="24"/>
          <w:rtl/>
        </w:rPr>
        <w:t xml:space="preserve"> 19.1022)).</w:t>
      </w:r>
      <w:r>
        <w:rPr>
          <w:rFonts w:ascii="David" w:hAnsi="David" w:cs="David"/>
          <w:b/>
          <w:bCs/>
          <w:sz w:val="24"/>
          <w:szCs w:val="24"/>
          <w:rtl/>
        </w:rPr>
        <w:t xml:space="preserve"> </w:t>
      </w:r>
      <w:r>
        <w:rPr>
          <w:rFonts w:ascii="David" w:hAnsi="David" w:cs="David"/>
          <w:sz w:val="24"/>
          <w:szCs w:val="24"/>
          <w:rtl/>
        </w:rPr>
        <w:t>לכן</w:t>
      </w:r>
      <w:r w:rsidR="002A7B96">
        <w:rPr>
          <w:rFonts w:ascii="David" w:hAnsi="David" w:cs="David" w:hint="cs"/>
          <w:sz w:val="24"/>
          <w:szCs w:val="24"/>
          <w:rtl/>
        </w:rPr>
        <w:t>,</w:t>
      </w:r>
      <w:r>
        <w:rPr>
          <w:rFonts w:ascii="David" w:hAnsi="David" w:cs="David"/>
          <w:sz w:val="24"/>
          <w:szCs w:val="24"/>
          <w:rtl/>
        </w:rPr>
        <w:t xml:space="preserve"> הנהוג הוא בשיטת המשפט שלנו כי על בי</w:t>
      </w:r>
      <w:r w:rsidR="002A7B96">
        <w:rPr>
          <w:rFonts w:ascii="David" w:hAnsi="David" w:cs="David" w:hint="cs"/>
          <w:sz w:val="24"/>
          <w:szCs w:val="24"/>
          <w:rtl/>
        </w:rPr>
        <w:t>ת המשפט</w:t>
      </w:r>
      <w:r>
        <w:rPr>
          <w:rFonts w:ascii="David" w:hAnsi="David" w:cs="David"/>
          <w:sz w:val="24"/>
          <w:szCs w:val="24"/>
          <w:rtl/>
        </w:rPr>
        <w:t xml:space="preserve"> לנקוט משנה זהירות בדונו בבקשת לדחיית תביעה על הסף, שמא  תיפגע זכות הגישה לערכאות מעבר למידה ראויה (ר' רע"א (מחוזי ת"א) 65945-02-23 </w:t>
      </w:r>
      <w:r>
        <w:rPr>
          <w:rFonts w:ascii="David" w:hAnsi="David" w:cs="David"/>
          <w:b/>
          <w:bCs/>
          <w:sz w:val="24"/>
          <w:szCs w:val="24"/>
          <w:rtl/>
        </w:rPr>
        <w:t>עמוס גבעון נ' עמוס ון-אמדן</w:t>
      </w:r>
      <w:r>
        <w:rPr>
          <w:rFonts w:ascii="David" w:hAnsi="David" w:cs="David"/>
          <w:sz w:val="24"/>
          <w:szCs w:val="24"/>
          <w:rtl/>
        </w:rPr>
        <w:t> (נבו</w:t>
      </w:r>
      <w:r w:rsidR="00F62C73">
        <w:rPr>
          <w:rFonts w:ascii="David" w:hAnsi="David" w:cs="David" w:hint="cs"/>
          <w:sz w:val="24"/>
          <w:szCs w:val="24"/>
          <w:rtl/>
        </w:rPr>
        <w:t>,</w:t>
      </w:r>
      <w:r>
        <w:rPr>
          <w:rFonts w:ascii="David" w:hAnsi="David" w:cs="David"/>
          <w:sz w:val="24"/>
          <w:szCs w:val="24"/>
          <w:rtl/>
        </w:rPr>
        <w:t xml:space="preserve"> 06.03.2023)‏‏ וההפניות שם). דברים אלו מקבלים משנה תוקף ביחס לסילוק תובענה על הסף מחמת היעדר עילה שאז נדרש להראות כי </w:t>
      </w:r>
      <w:r>
        <w:rPr>
          <w:rFonts w:ascii="David" w:hAnsi="David" w:cs="David"/>
          <w:b/>
          <w:bCs/>
          <w:sz w:val="24"/>
          <w:szCs w:val="24"/>
          <w:rtl/>
        </w:rPr>
        <w:t>"התביעה על פניה אינה מגלה ולו צל של עילה"</w:t>
      </w:r>
      <w:r>
        <w:rPr>
          <w:rFonts w:ascii="David" w:hAnsi="David" w:cs="David"/>
          <w:sz w:val="24"/>
          <w:szCs w:val="24"/>
          <w:rtl/>
        </w:rPr>
        <w:t xml:space="preserve"> (ר' רע"א 1099/21 </w:t>
      </w:r>
      <w:r>
        <w:rPr>
          <w:rFonts w:ascii="David" w:hAnsi="David" w:cs="David"/>
          <w:b/>
          <w:bCs/>
          <w:sz w:val="24"/>
          <w:szCs w:val="24"/>
          <w:rtl/>
        </w:rPr>
        <w:t>הרמטיק נאמנות (1975) בע"מ נ' אקסטרה פיתוח וייזום בע"מ</w:t>
      </w:r>
      <w:r>
        <w:rPr>
          <w:rFonts w:ascii="David" w:hAnsi="David" w:cs="David"/>
          <w:sz w:val="24"/>
          <w:szCs w:val="24"/>
          <w:rtl/>
        </w:rPr>
        <w:t> (פורסם בנבו</w:t>
      </w:r>
      <w:r w:rsidR="00F62C73">
        <w:rPr>
          <w:rFonts w:ascii="David" w:hAnsi="David" w:cs="David" w:hint="cs"/>
          <w:sz w:val="24"/>
          <w:szCs w:val="24"/>
          <w:rtl/>
        </w:rPr>
        <w:t>,</w:t>
      </w:r>
      <w:r>
        <w:rPr>
          <w:rFonts w:ascii="David" w:hAnsi="David" w:cs="David"/>
          <w:sz w:val="24"/>
          <w:szCs w:val="24"/>
          <w:rtl/>
        </w:rPr>
        <w:t xml:space="preserve"> 17.11.2021)‏</w:t>
      </w:r>
      <w:r>
        <w:rPr>
          <w:rFonts w:ascii="Arial" w:hAnsi="Arial" w:cs="Arial"/>
          <w:color w:val="000000"/>
          <w:sz w:val="27"/>
          <w:szCs w:val="27"/>
          <w:rtl/>
        </w:rPr>
        <w:t>‏</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לכן, ובהתאם לכך, נקבע כי מקום בו הכרעה בבקשה לסילוק על הסף מחייבת בירור מורכב, וצלילה לנבכי העובדות, הדבר מצדיק, על דרך הכלל, לדחות את הבקשה ולבחון את הטענות המועלות במסגרת ההליך גופו (שם, פסקה 21).</w:t>
      </w:r>
    </w:p>
    <w:p w:rsidR="0028289C" w:rsidRPr="002A7B96" w:rsidRDefault="0028289C" w:rsidP="0028289C">
      <w:pPr>
        <w:pStyle w:val="ac"/>
        <w:spacing w:after="0" w:line="360" w:lineRule="auto"/>
        <w:ind w:left="360"/>
        <w:jc w:val="both"/>
        <w:rPr>
          <w:rFonts w:ascii="David" w:hAnsi="David" w:cs="David"/>
          <w:sz w:val="16"/>
          <w:szCs w:val="16"/>
        </w:rPr>
      </w:pPr>
    </w:p>
    <w:p w:rsidR="0028289C" w:rsidRDefault="002A7B96" w:rsidP="002A7B96">
      <w:pPr>
        <w:spacing w:line="360" w:lineRule="auto"/>
        <w:jc w:val="both"/>
        <w:rPr>
          <w:rFonts w:ascii="David" w:hAnsi="David"/>
          <w:b/>
          <w:bCs/>
          <w:rtl/>
        </w:rPr>
      </w:pPr>
      <w:r>
        <w:rPr>
          <w:rFonts w:ascii="David" w:hAnsi="David" w:hint="cs"/>
          <w:b/>
          <w:bCs/>
          <w:rtl/>
        </w:rPr>
        <w:t xml:space="preserve">ב.2. - </w:t>
      </w:r>
      <w:r w:rsidR="0028289C">
        <w:rPr>
          <w:rFonts w:ascii="David" w:hAnsi="David"/>
          <w:b/>
          <w:bCs/>
          <w:rtl/>
        </w:rPr>
        <w:t xml:space="preserve">כינון וקינון של יחסי משפחה (הורות ואחאות): </w:t>
      </w:r>
    </w:p>
    <w:p w:rsidR="0028289C" w:rsidRPr="002A7B96" w:rsidRDefault="0028289C" w:rsidP="0028289C">
      <w:pPr>
        <w:spacing w:line="360" w:lineRule="auto"/>
        <w:jc w:val="both"/>
        <w:rPr>
          <w:rFonts w:ascii="David" w:hAnsi="David"/>
          <w:sz w:val="16"/>
          <w:szCs w:val="16"/>
          <w:rtl/>
        </w:rPr>
      </w:pPr>
    </w:p>
    <w:p w:rsidR="002A7B96" w:rsidRPr="002A7B96" w:rsidRDefault="0028289C" w:rsidP="002A7B96">
      <w:pPr>
        <w:pStyle w:val="ac"/>
        <w:numPr>
          <w:ilvl w:val="0"/>
          <w:numId w:val="1"/>
        </w:numPr>
        <w:spacing w:after="0" w:line="360" w:lineRule="auto"/>
        <w:jc w:val="both"/>
        <w:rPr>
          <w:rFonts w:ascii="David" w:hAnsi="David" w:cs="David"/>
          <w:b/>
          <w:bCs/>
          <w:sz w:val="24"/>
          <w:szCs w:val="24"/>
        </w:rPr>
      </w:pPr>
      <w:r>
        <w:rPr>
          <w:rFonts w:ascii="David" w:hAnsi="David" w:cs="David"/>
          <w:sz w:val="24"/>
          <w:szCs w:val="24"/>
          <w:rtl/>
        </w:rPr>
        <w:t>אין בידי לקבל את הטענה שאי סילוק על הסף יביא למצב הכאוטי אשר בו כל שכן קרוב יראה עצמו כזכאי לטעון לזכויות משפטיות בילד של משפחה אחרת. לטעמי פני הדברים שונים ובדיון שנערך בפניי בעניין הבקשה דנן הקשיתי על ב"כ המבקשת ושאלתי אותו כך:</w:t>
      </w:r>
      <w:r w:rsidR="002A7B96">
        <w:rPr>
          <w:rFonts w:ascii="David" w:hAnsi="David" w:cs="David"/>
          <w:sz w:val="24"/>
          <w:szCs w:val="24"/>
        </w:rPr>
        <w:t xml:space="preserve"> </w:t>
      </w:r>
      <w:r w:rsidRPr="002A7B96">
        <w:rPr>
          <w:rFonts w:ascii="David" w:hAnsi="David" w:cs="David"/>
          <w:b/>
          <w:bCs/>
          <w:i/>
          <w:iCs/>
          <w:sz w:val="24"/>
          <w:szCs w:val="24"/>
          <w:rtl/>
        </w:rPr>
        <w:t>"בוא נניח מקרה דמיוני, שבו אם יולדת ילד מתורם אנונימי, וכשהילד ממש מיד לאחר שנולד היא מכירה בן זוג, עוברים לגור ביחד, מביאים עוד 3 ילדים משותפים, ולאחר 12 שנים מחליטים לפרק את החבילה. האם אתה סבור שבמקרה הזה לבן זוגה של האם שייפגש עם 3 ילדיו הביולוגיים אין שום זכויות מול הילד הרביעי, שנולד לאם בלבד</w:t>
      </w:r>
      <w:r w:rsidRPr="002A7B96">
        <w:rPr>
          <w:rFonts w:ascii="David" w:hAnsi="David" w:cs="David"/>
          <w:sz w:val="24"/>
          <w:szCs w:val="24"/>
          <w:rtl/>
        </w:rPr>
        <w:t>" (ר' עמ' 3, ש' 6</w:t>
      </w:r>
      <w:r w:rsidR="00F62C73">
        <w:rPr>
          <w:rFonts w:ascii="David" w:hAnsi="David" w:cs="David" w:hint="cs"/>
          <w:sz w:val="24"/>
          <w:szCs w:val="24"/>
          <w:rtl/>
        </w:rPr>
        <w:t xml:space="preserve"> ואילך</w:t>
      </w:r>
      <w:r w:rsidRPr="002A7B96">
        <w:rPr>
          <w:rFonts w:ascii="David" w:hAnsi="David" w:cs="David"/>
          <w:sz w:val="24"/>
          <w:szCs w:val="24"/>
          <w:rtl/>
        </w:rPr>
        <w:t>)</w:t>
      </w:r>
      <w:r w:rsidRPr="002A7B96">
        <w:rPr>
          <w:rFonts w:ascii="David" w:hAnsi="David" w:cs="David"/>
          <w:i/>
          <w:iCs/>
          <w:sz w:val="24"/>
          <w:szCs w:val="24"/>
          <w:rtl/>
        </w:rPr>
        <w:t>.</w:t>
      </w:r>
    </w:p>
    <w:p w:rsidR="0028289C" w:rsidRPr="002A7B96" w:rsidRDefault="0028289C" w:rsidP="00F62C73">
      <w:pPr>
        <w:pStyle w:val="ac"/>
        <w:spacing w:after="0" w:line="360" w:lineRule="auto"/>
        <w:ind w:left="360"/>
        <w:jc w:val="both"/>
        <w:rPr>
          <w:rFonts w:ascii="David" w:hAnsi="David" w:cs="David"/>
          <w:b/>
          <w:bCs/>
          <w:sz w:val="24"/>
          <w:szCs w:val="24"/>
          <w:rtl/>
        </w:rPr>
      </w:pPr>
      <w:r w:rsidRPr="002A7B96">
        <w:rPr>
          <w:rFonts w:ascii="David" w:hAnsi="David" w:cs="David"/>
          <w:sz w:val="24"/>
          <w:szCs w:val="24"/>
          <w:rtl/>
        </w:rPr>
        <w:lastRenderedPageBreak/>
        <w:t xml:space="preserve">תשובת ב"כ האישה אכן העידה במידה מסוימת שגם הוא, בהגינותו, מבין את הקושי שבפניו אני נמצאים, והשיב: </w:t>
      </w:r>
      <w:r w:rsidRPr="002A7B96">
        <w:rPr>
          <w:rFonts w:ascii="David" w:hAnsi="David" w:cs="David"/>
          <w:b/>
          <w:bCs/>
          <w:sz w:val="24"/>
          <w:szCs w:val="24"/>
          <w:rtl/>
        </w:rPr>
        <w:t>"אני סבור שיש שוני מהותי בין שני המקרים. יחד עם זאת, העובדה במשך 12 שנה כפי הדוגמא האדון לא עתר לאמץ את הילד למרות שיכלו לעשות זאת בנקל, יוצרת חיץ משפטי בין הילד לשאר הילדים"</w:t>
      </w:r>
      <w:r w:rsidRPr="002A7B96">
        <w:rPr>
          <w:rFonts w:ascii="David" w:hAnsi="David" w:cs="David"/>
          <w:sz w:val="24"/>
          <w:szCs w:val="24"/>
          <w:rtl/>
        </w:rPr>
        <w:t xml:space="preserve"> (שם, ש' </w:t>
      </w:r>
      <w:r w:rsidR="00F62C73">
        <w:rPr>
          <w:rFonts w:ascii="David" w:hAnsi="David" w:cs="David" w:hint="cs"/>
          <w:sz w:val="24"/>
          <w:szCs w:val="24"/>
          <w:rtl/>
        </w:rPr>
        <w:t>12-14</w:t>
      </w:r>
      <w:r w:rsidRPr="002A7B96">
        <w:rPr>
          <w:rFonts w:ascii="David" w:hAnsi="David" w:cs="David"/>
          <w:sz w:val="24"/>
          <w:szCs w:val="24"/>
          <w:rtl/>
        </w:rPr>
        <w:t xml:space="preserve">). אף אני הייתי ער לקושי המשפטי, והתייחסתי אליו בפסק דיני מיום 1.1.2023, אך לצד הקושי אני ער גם לטעמים כבדי משקל שיש לבירור התביעה ולו משיקולי טובת הילד </w:t>
      </w:r>
      <w:r w:rsidR="00F62C73">
        <w:rPr>
          <w:rFonts w:ascii="David" w:hAnsi="David" w:cs="David" w:hint="cs"/>
          <w:sz w:val="24"/>
          <w:szCs w:val="24"/>
          <w:rtl/>
        </w:rPr>
        <w:t>ערן</w:t>
      </w:r>
      <w:r w:rsidRPr="002A7B96">
        <w:rPr>
          <w:rFonts w:ascii="David" w:hAnsi="David" w:cs="David"/>
          <w:sz w:val="24"/>
          <w:szCs w:val="24"/>
          <w:rtl/>
        </w:rPr>
        <w:t xml:space="preserve"> גרידא. משאנו נמצאים בפתח בירור התביעה אין בידי לקבל את טענת הדחייה על הסף, שהלוא זו שמורה למצבי הקיצון בו אף אם יוכיח האיש את מלוא טענותיו לא יוכל לקבל את הסעד, ובזהירות המתבקשת, אינני סבור כי אלו הם פני הדברים.</w:t>
      </w:r>
    </w:p>
    <w:p w:rsidR="0028289C" w:rsidRPr="002A7B96" w:rsidRDefault="0028289C" w:rsidP="0028289C">
      <w:pPr>
        <w:spacing w:line="360" w:lineRule="auto"/>
        <w:ind w:left="360"/>
        <w:jc w:val="both"/>
        <w:rPr>
          <w:rFonts w:ascii="David" w:hAnsi="David"/>
          <w:sz w:val="16"/>
          <w:szCs w:val="16"/>
          <w:rtl/>
        </w:rPr>
      </w:pPr>
    </w:p>
    <w:p w:rsidR="0028289C" w:rsidRDefault="0028289C" w:rsidP="0028289C">
      <w:pPr>
        <w:pStyle w:val="ac"/>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בבע"מ 4751/12 </w:t>
      </w:r>
      <w:r>
        <w:rPr>
          <w:rFonts w:ascii="David" w:hAnsi="David" w:cs="David"/>
          <w:b/>
          <w:bCs/>
          <w:sz w:val="24"/>
          <w:szCs w:val="24"/>
          <w:rtl/>
        </w:rPr>
        <w:t>אלמוני נ' אלמונית</w:t>
      </w:r>
      <w:r>
        <w:rPr>
          <w:rFonts w:ascii="David" w:hAnsi="David" w:cs="David"/>
          <w:sz w:val="24"/>
          <w:szCs w:val="24"/>
          <w:rtl/>
        </w:rPr>
        <w:t xml:space="preserve"> (פורסם בנבו, 29.8.2013), נדונה שאלת חיובו של אדם במזונות בנותיה הקטינות של בת זוגו, שאין הוא אביהן הביולוגי ואף לא אימצן. באותו מקרה קבע כב' השופט י' עמית: </w:t>
      </w:r>
      <w:r>
        <w:rPr>
          <w:rFonts w:ascii="David" w:hAnsi="David" w:cs="David"/>
          <w:b/>
          <w:bCs/>
          <w:sz w:val="24"/>
          <w:szCs w:val="24"/>
          <w:rtl/>
        </w:rPr>
        <w:t xml:space="preserve">"נניח כי המקרה היה הפוך, והאם הייתה מעוניינת לנתק את המבקש מהבנות, בטענה כי אין לו כל חלק ונחלה בגידולן, במשמורתן ובחינוכן, ומשכך, אין לו זכות למשמורת או להסדרי ראיה. </w:t>
      </w:r>
      <w:r w:rsidRPr="002A7B96">
        <w:rPr>
          <w:rFonts w:ascii="David" w:hAnsi="David" w:cs="David"/>
          <w:b/>
          <w:bCs/>
          <w:sz w:val="24"/>
          <w:szCs w:val="24"/>
          <w:u w:val="double"/>
          <w:rtl/>
        </w:rPr>
        <w:t>קשה להלום כי בית המשפט היה רואה את המבקש כאדם זר לבנות, כמי שאין לו כל זכות לגביהן</w:t>
      </w:r>
      <w:r>
        <w:rPr>
          <w:rFonts w:ascii="David" w:hAnsi="David" w:cs="David"/>
          <w:b/>
          <w:bCs/>
          <w:sz w:val="24"/>
          <w:szCs w:val="24"/>
          <w:rtl/>
        </w:rPr>
        <w:t>, למרות שעוד קודם להבאתן של הבנות לארץ ומשך כל השנים לאחר מכן נהג כאביהן לכל דבר ועניין, הן בביתו פנימה והן כלפי חוץ"</w:t>
      </w:r>
      <w:r>
        <w:rPr>
          <w:rFonts w:ascii="David" w:hAnsi="David" w:cs="David"/>
          <w:sz w:val="24"/>
          <w:szCs w:val="24"/>
          <w:rtl/>
        </w:rPr>
        <w:t xml:space="preserve"> (שם; הדגשה לא במקור). אני ער לכך כי באותו מקרה היה האיש מעורב בהבאתן של הקטינות ארצה ואילו במקרה דנן, לא היה האיש מעורב בכל הנוגע ליצירת ההיריון וללידת הקטין, ויחד עם זאת, אינני בטוח כלל ועיקר כי קביעתו זו של כב' השופט י' עמית חלה בהתקיימות כל התנאים שהובאו על ידו, ועניין זה יתברר במסגרת ההליך העיקרי. </w:t>
      </w:r>
    </w:p>
    <w:p w:rsidR="0028289C" w:rsidRPr="002A7B96" w:rsidRDefault="0028289C" w:rsidP="0028289C">
      <w:pPr>
        <w:pStyle w:val="ac"/>
        <w:spacing w:after="0" w:line="360" w:lineRule="auto"/>
        <w:ind w:left="360"/>
        <w:jc w:val="both"/>
        <w:rPr>
          <w:rFonts w:ascii="David" w:hAnsi="David" w:cs="David"/>
          <w:b/>
          <w:bCs/>
          <w:sz w:val="16"/>
          <w:szCs w:val="16"/>
          <w:rtl/>
        </w:rPr>
      </w:pPr>
    </w:p>
    <w:p w:rsidR="0028289C" w:rsidRDefault="0028289C" w:rsidP="0028289C">
      <w:pPr>
        <w:pStyle w:val="ac"/>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כפי שניתן להיווכח מקביעתו של כב' השופט י' עמית, אין המדובר במקרה </w:t>
      </w:r>
      <w:r w:rsidRPr="00F62C73">
        <w:rPr>
          <w:rFonts w:ascii="David" w:hAnsi="David" w:cs="David"/>
          <w:i/>
          <w:iCs/>
          <w:sz w:val="24"/>
          <w:szCs w:val="24"/>
          <w:rtl/>
        </w:rPr>
        <w:t>בינארי</w:t>
      </w:r>
      <w:r>
        <w:rPr>
          <w:rFonts w:ascii="David" w:hAnsi="David" w:cs="David"/>
          <w:sz w:val="24"/>
          <w:szCs w:val="24"/>
          <w:rtl/>
        </w:rPr>
        <w:t xml:space="preserve"> בו כל אימת שבעל דין איננו מוכרז כהורה של קטין, אבדו לו כל זכויותיו כלפי הילד ולילד אבדו כל זכויותיו כלפי אותו בעל דין, אלא זכויותיו של בעל דין כלפי קטין וזכויותיו של קטין כלפי בעל הדין, תיגזרנה ותוכרענה משלל עובדות ונסיבות המאפיינות את אותו המקרה. העובדה כי לכל הורה שהוכרז כהורה זכויות כלפי קטין ולקטין זכויות כלפיו, אין משמעותה </w:t>
      </w:r>
      <w:r>
        <w:rPr>
          <w:rFonts w:ascii="David" w:hAnsi="David" w:cs="David"/>
          <w:i/>
          <w:iCs/>
          <w:sz w:val="24"/>
          <w:szCs w:val="24"/>
          <w:rtl/>
        </w:rPr>
        <w:t>בהכרח</w:t>
      </w:r>
      <w:r>
        <w:rPr>
          <w:rFonts w:ascii="David" w:hAnsi="David" w:cs="David"/>
          <w:sz w:val="24"/>
          <w:szCs w:val="24"/>
          <w:rtl/>
        </w:rPr>
        <w:t xml:space="preserve"> כי למי שלא הוכרז כהורה אין זכויות כלפי קטין ולקטין אין זכויות כלפיו. </w:t>
      </w:r>
    </w:p>
    <w:p w:rsidR="0028289C" w:rsidRPr="002A7B96" w:rsidRDefault="0028289C" w:rsidP="0028289C">
      <w:pPr>
        <w:pStyle w:val="ac"/>
        <w:rPr>
          <w:rFonts w:ascii="David" w:hAnsi="David" w:cs="David"/>
          <w:sz w:val="16"/>
          <w:szCs w:val="16"/>
          <w:rtl/>
        </w:rPr>
      </w:pPr>
    </w:p>
    <w:p w:rsidR="0028289C" w:rsidRDefault="0028289C" w:rsidP="0028289C">
      <w:pPr>
        <w:pStyle w:val="ac"/>
        <w:numPr>
          <w:ilvl w:val="0"/>
          <w:numId w:val="1"/>
        </w:numPr>
        <w:spacing w:after="0" w:line="360" w:lineRule="auto"/>
        <w:jc w:val="both"/>
        <w:rPr>
          <w:rFonts w:ascii="David" w:hAnsi="David" w:cs="David"/>
          <w:b/>
          <w:bCs/>
          <w:sz w:val="24"/>
          <w:szCs w:val="24"/>
          <w:rtl/>
        </w:rPr>
      </w:pPr>
      <w:r>
        <w:rPr>
          <w:rFonts w:ascii="David" w:hAnsi="David" w:cs="David"/>
          <w:sz w:val="24"/>
          <w:szCs w:val="24"/>
          <w:rtl/>
        </w:rPr>
        <w:t>למותר לציין כי במסגרת ההליך יתבררו העניינים הנ"ל, כמו גם השאלות: מהי משפחה? כיצד זו נוצרת? מה חשיבותן של הסכמות בתוך המשפחה? האם יש משמעות לאלמנט הזמן בו התקיימו הסדרים באופן מסוים? ואין המדובר ברשימה סגורה.</w:t>
      </w:r>
    </w:p>
    <w:p w:rsidR="0028289C" w:rsidRPr="002A7B96" w:rsidRDefault="0028289C" w:rsidP="0028289C">
      <w:pPr>
        <w:pStyle w:val="ac"/>
        <w:spacing w:after="0" w:line="360" w:lineRule="auto"/>
        <w:ind w:left="360"/>
        <w:jc w:val="both"/>
        <w:rPr>
          <w:rFonts w:ascii="David" w:hAnsi="David" w:cs="David"/>
          <w:b/>
          <w:bCs/>
          <w:sz w:val="16"/>
          <w:szCs w:val="16"/>
        </w:rPr>
      </w:pPr>
    </w:p>
    <w:p w:rsidR="0028289C" w:rsidRDefault="0028289C" w:rsidP="0028289C">
      <w:pPr>
        <w:pStyle w:val="ac"/>
        <w:numPr>
          <w:ilvl w:val="0"/>
          <w:numId w:val="1"/>
        </w:numPr>
        <w:spacing w:after="0" w:line="360" w:lineRule="auto"/>
        <w:jc w:val="both"/>
        <w:rPr>
          <w:rFonts w:ascii="David" w:hAnsi="David" w:cs="David"/>
          <w:b/>
          <w:bCs/>
          <w:sz w:val="24"/>
          <w:szCs w:val="24"/>
        </w:rPr>
      </w:pPr>
      <w:r>
        <w:rPr>
          <w:rFonts w:ascii="David" w:hAnsi="David" w:cs="David"/>
          <w:sz w:val="24"/>
          <w:szCs w:val="24"/>
          <w:rtl/>
        </w:rPr>
        <w:t>מעבר לכך, כאשר אני שוקל את הנזק שעלול להיגרם לקטין אם וככל שייסתם הגולל על תביעתו של האיש, אל מול הנזק שעלול להיגרם לו מהמשך בירור התביעה, וכאשר אני שוקל את היתרונות שייגרמו לו כתוצאה מדחיית התביעה אל מול היתרונות שיצמחו לו מקבלתה, מאזן הנוחות נוטה בבירור לטובת בירורה של התביעה, ואין להסיק מכך דבר באשר לתוצאת ההליך שבפני.</w:t>
      </w:r>
    </w:p>
    <w:p w:rsidR="0028289C" w:rsidRDefault="0028289C" w:rsidP="0028289C">
      <w:pPr>
        <w:pStyle w:val="ac"/>
        <w:rPr>
          <w:rFonts w:ascii="David" w:hAnsi="David" w:cs="David"/>
          <w:sz w:val="16"/>
          <w:szCs w:val="16"/>
          <w:rtl/>
        </w:rPr>
      </w:pPr>
    </w:p>
    <w:p w:rsidR="00F62C73" w:rsidRDefault="00F62C73" w:rsidP="0028289C">
      <w:pPr>
        <w:pStyle w:val="ac"/>
        <w:rPr>
          <w:rFonts w:ascii="David" w:hAnsi="David" w:cs="David"/>
          <w:sz w:val="16"/>
          <w:szCs w:val="16"/>
          <w:rtl/>
        </w:rPr>
      </w:pPr>
    </w:p>
    <w:p w:rsidR="00F62C73" w:rsidRDefault="00F62C73" w:rsidP="0028289C">
      <w:pPr>
        <w:pStyle w:val="ac"/>
        <w:rPr>
          <w:rFonts w:ascii="David" w:hAnsi="David" w:cs="David"/>
          <w:sz w:val="16"/>
          <w:szCs w:val="16"/>
          <w:rtl/>
        </w:rPr>
      </w:pPr>
    </w:p>
    <w:p w:rsidR="00F62C73" w:rsidRDefault="00F62C73" w:rsidP="0028289C">
      <w:pPr>
        <w:pStyle w:val="ac"/>
        <w:rPr>
          <w:rFonts w:ascii="David" w:hAnsi="David" w:cs="David"/>
          <w:sz w:val="16"/>
          <w:szCs w:val="16"/>
          <w:rtl/>
        </w:rPr>
      </w:pPr>
    </w:p>
    <w:p w:rsidR="00F62C73" w:rsidRDefault="00F62C73" w:rsidP="0028289C">
      <w:pPr>
        <w:pStyle w:val="ac"/>
        <w:rPr>
          <w:rFonts w:ascii="David" w:hAnsi="David" w:cs="David"/>
          <w:sz w:val="16"/>
          <w:szCs w:val="16"/>
          <w:rtl/>
        </w:rPr>
      </w:pPr>
    </w:p>
    <w:p w:rsidR="00F62C73" w:rsidRDefault="00F62C73" w:rsidP="00F62C73">
      <w:pPr>
        <w:spacing w:line="360" w:lineRule="auto"/>
        <w:jc w:val="both"/>
        <w:rPr>
          <w:rFonts w:ascii="David" w:hAnsi="David"/>
          <w:b/>
          <w:bCs/>
          <w:rtl/>
        </w:rPr>
      </w:pPr>
      <w:r>
        <w:rPr>
          <w:rFonts w:ascii="David" w:hAnsi="David" w:hint="cs"/>
          <w:b/>
          <w:bCs/>
          <w:rtl/>
        </w:rPr>
        <w:lastRenderedPageBreak/>
        <w:t xml:space="preserve">ג </w:t>
      </w:r>
      <w:r>
        <w:rPr>
          <w:rFonts w:ascii="David" w:hAnsi="David"/>
          <w:b/>
          <w:bCs/>
          <w:rtl/>
        </w:rPr>
        <w:t>–</w:t>
      </w:r>
      <w:r>
        <w:rPr>
          <w:rFonts w:ascii="David" w:hAnsi="David" w:hint="cs"/>
          <w:b/>
          <w:bCs/>
          <w:rtl/>
        </w:rPr>
        <w:t xml:space="preserve"> סיכומם של דברים: </w:t>
      </w:r>
    </w:p>
    <w:p w:rsidR="00F62C73" w:rsidRPr="002A7B96" w:rsidRDefault="00F62C73" w:rsidP="0028289C">
      <w:pPr>
        <w:pStyle w:val="ac"/>
        <w:rPr>
          <w:rFonts w:ascii="David" w:hAnsi="David" w:cs="David"/>
          <w:sz w:val="16"/>
          <w:szCs w:val="16"/>
          <w:rtl/>
        </w:rPr>
      </w:pPr>
    </w:p>
    <w:p w:rsidR="0028289C" w:rsidRDefault="0028289C" w:rsidP="0028289C">
      <w:pPr>
        <w:pStyle w:val="ac"/>
        <w:numPr>
          <w:ilvl w:val="0"/>
          <w:numId w:val="1"/>
        </w:numPr>
        <w:spacing w:after="0" w:line="360" w:lineRule="auto"/>
        <w:jc w:val="both"/>
        <w:rPr>
          <w:rFonts w:ascii="David" w:hAnsi="David" w:cs="David"/>
          <w:sz w:val="24"/>
          <w:szCs w:val="24"/>
        </w:rPr>
      </w:pPr>
      <w:r>
        <w:rPr>
          <w:rFonts w:ascii="David" w:hAnsi="David" w:cs="David"/>
          <w:sz w:val="24"/>
          <w:szCs w:val="24"/>
          <w:rtl/>
        </w:rPr>
        <w:t>אשר על כן, הבקשה לסילוק על הסף, נדחית בזאת.</w:t>
      </w:r>
    </w:p>
    <w:p w:rsidR="0028289C" w:rsidRPr="00F62C73" w:rsidRDefault="0028289C" w:rsidP="0028289C">
      <w:pPr>
        <w:pStyle w:val="ac"/>
        <w:rPr>
          <w:rFonts w:ascii="David" w:hAnsi="David" w:cs="David"/>
          <w:sz w:val="16"/>
          <w:szCs w:val="16"/>
        </w:rPr>
      </w:pPr>
    </w:p>
    <w:p w:rsidR="0028289C" w:rsidRDefault="0028289C" w:rsidP="0028289C">
      <w:pPr>
        <w:pStyle w:val="ac"/>
        <w:numPr>
          <w:ilvl w:val="0"/>
          <w:numId w:val="1"/>
        </w:numPr>
        <w:spacing w:after="0" w:line="360" w:lineRule="auto"/>
        <w:jc w:val="both"/>
        <w:rPr>
          <w:rFonts w:ascii="David" w:hAnsi="David" w:cs="David"/>
          <w:sz w:val="24"/>
          <w:szCs w:val="24"/>
        </w:rPr>
      </w:pPr>
      <w:r>
        <w:rPr>
          <w:rFonts w:ascii="David" w:hAnsi="David" w:cs="David"/>
          <w:sz w:val="24"/>
          <w:szCs w:val="24"/>
          <w:rtl/>
        </w:rPr>
        <w:t>באשר להוצאות ההליך, אני ער לחלוטין לבעייתיות הכרוכה בפסיקת הוצאות בהליכים בהם מעורבים קטינים, שכן לא אחת, עלולה פסיקת ההוצאות לגרום לצדדים או למי מהם להגביר את הלהבות שאינן מועילות לקטין, בלשון המעטה. יחד עם זאת, במקרה מיוחד זה אני סבור כי התנהלותה של האישה לא הייתה מיטבית תוך שהיא גורמת לאיש להוצאות מיותרות, ולפיכך, מצאתי לחייב אותה בשכ"ט ב"כ האיש בסך כולל של 5,000 ₪.</w:t>
      </w:r>
    </w:p>
    <w:p w:rsidR="0028289C" w:rsidRPr="002A7B96" w:rsidRDefault="0028289C" w:rsidP="0028289C">
      <w:pPr>
        <w:pStyle w:val="ac"/>
        <w:rPr>
          <w:rFonts w:ascii="David" w:hAnsi="David" w:cs="David"/>
          <w:sz w:val="16"/>
          <w:szCs w:val="16"/>
          <w:rtl/>
        </w:rPr>
      </w:pPr>
    </w:p>
    <w:p w:rsidR="0028289C" w:rsidRDefault="0028289C" w:rsidP="0028289C">
      <w:pPr>
        <w:pStyle w:val="ac"/>
        <w:numPr>
          <w:ilvl w:val="0"/>
          <w:numId w:val="1"/>
        </w:numPr>
        <w:spacing w:after="0" w:line="360" w:lineRule="auto"/>
        <w:jc w:val="both"/>
        <w:rPr>
          <w:rFonts w:ascii="David" w:hAnsi="David" w:cs="David"/>
          <w:sz w:val="24"/>
          <w:szCs w:val="24"/>
        </w:rPr>
      </w:pPr>
      <w:r>
        <w:rPr>
          <w:rFonts w:ascii="David" w:hAnsi="David" w:cs="David"/>
          <w:sz w:val="24"/>
          <w:szCs w:val="24"/>
          <w:rtl/>
        </w:rPr>
        <w:t xml:space="preserve">החלטתי זו מותרת בפרסום בהשמטת פרטים מזהים.  </w:t>
      </w:r>
    </w:p>
    <w:p w:rsidR="0028289C" w:rsidRDefault="0028289C" w:rsidP="0028289C">
      <w:pPr>
        <w:pStyle w:val="ac"/>
        <w:spacing w:line="360" w:lineRule="auto"/>
        <w:rPr>
          <w:rFonts w:ascii="David" w:hAnsi="David" w:cs="David"/>
          <w:sz w:val="24"/>
          <w:szCs w:val="24"/>
          <w:rtl/>
        </w:rPr>
      </w:pPr>
    </w:p>
    <w:p w:rsidR="00094813" w:rsidRDefault="00094813">
      <w:pPr>
        <w:spacing w:line="360" w:lineRule="auto"/>
        <w:jc w:val="both"/>
        <w:rPr>
          <w:rFonts w:ascii="Arial" w:hAnsi="Arial"/>
          <w:noProof w:val="0"/>
          <w:rtl/>
        </w:rPr>
      </w:pPr>
    </w:p>
    <w:p w:rsidR="002914D6" w:rsidRDefault="00011212" w:rsidP="00F62C73">
      <w:pPr>
        <w:spacing w:line="360" w:lineRule="auto"/>
        <w:jc w:val="both"/>
        <w:rPr>
          <w:rFonts w:ascii="Arial" w:hAnsi="Arial"/>
          <w:noProof w:val="0"/>
          <w:rtl/>
        </w:rPr>
      </w:pPr>
      <w:r>
        <w:rPr>
          <w:rFonts w:ascii="Arial" w:hAnsi="Arial"/>
          <w:noProof w:val="0"/>
          <w:rtl/>
        </w:rPr>
        <w:t>נית</w:t>
      </w:r>
      <w:r w:rsidR="00F62C73">
        <w:rPr>
          <w:rFonts w:ascii="Arial" w:hAnsi="Arial" w:hint="cs"/>
          <w:noProof w:val="0"/>
          <w:rtl/>
        </w:rPr>
        <w:t>נה</w:t>
      </w:r>
      <w:r>
        <w:rPr>
          <w:rFonts w:ascii="Arial" w:hAnsi="Arial"/>
          <w:noProof w:val="0"/>
          <w:rtl/>
        </w:rPr>
        <w:t xml:space="preserve"> היום,  </w:t>
      </w:r>
      <w:sdt>
        <w:sdtPr>
          <w:rPr>
            <w:rtl/>
          </w:rPr>
          <w:alias w:val="1455"/>
          <w:tag w:val="1455"/>
          <w:id w:val="-181669360"/>
          <w:text w:multiLine="1"/>
        </w:sdtPr>
        <w:sdtEndPr/>
        <w:sdtContent>
          <w:r>
            <w:rPr>
              <w:rFonts w:ascii="Arial" w:hAnsi="Arial"/>
              <w:noProof w:val="0"/>
              <w:rtl/>
            </w:rPr>
            <w:t>ו' תמוז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25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F62C73" w:rsidRDefault="00F62C73">
      <w:pPr>
        <w:spacing w:line="360" w:lineRule="auto"/>
        <w:jc w:val="both"/>
        <w:rPr>
          <w:rFonts w:ascii="Arial" w:hAnsi="Arial"/>
          <w:noProof w:val="0"/>
          <w:rtl/>
        </w:rPr>
      </w:pPr>
    </w:p>
    <w:p w:rsidR="00F62C73" w:rsidRDefault="00F62C73" w:rsidP="00F62C73">
      <w:pPr>
        <w:spacing w:line="360" w:lineRule="auto"/>
        <w:jc w:val="right"/>
        <w:rPr>
          <w:rFonts w:ascii="Arial" w:hAnsi="Arial"/>
          <w:noProof w:val="0"/>
          <w:rtl/>
        </w:rPr>
      </w:pPr>
      <w:r>
        <w:drawing>
          <wp:inline distT="0" distB="0" distL="0" distR="0" wp14:anchorId="734649DD" wp14:editId="2E3DFD31">
            <wp:extent cx="2809875" cy="838200"/>
            <wp:effectExtent l="0" t="0" r="9525" b="0"/>
            <wp:docPr id="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2809875" cy="838200"/>
                    </a:xfrm>
                    <a:prstGeom prst="rect">
                      <a:avLst/>
                    </a:prstGeom>
                  </pic:spPr>
                </pic:pic>
              </a:graphicData>
            </a:graphic>
          </wp:inline>
        </w:drawing>
      </w:r>
    </w:p>
    <w:p w:rsidR="00F62C73" w:rsidRDefault="00F62C73">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009" w:rsidRDefault="008D1009">
      <w:r>
        <w:separator/>
      </w:r>
    </w:p>
  </w:endnote>
  <w:endnote w:type="continuationSeparator" w:id="0">
    <w:p w:rsidR="008D1009" w:rsidRDefault="008D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715B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715B5">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009" w:rsidRDefault="008D1009">
      <w:r>
        <w:separator/>
      </w:r>
    </w:p>
  </w:footnote>
  <w:footnote w:type="continuationSeparator" w:id="0">
    <w:p w:rsidR="008D1009" w:rsidRDefault="008D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D230CE">
      <w:trPr>
        <w:trHeight w:hRule="exact" w:val="418"/>
        <w:jc w:val="center"/>
      </w:trPr>
      <w:sdt>
        <w:sdtPr>
          <w:rPr>
            <w:rtl/>
          </w:rPr>
          <w:alias w:val="1174"/>
          <w:tag w:val="1174"/>
          <w:id w:val="-1271863099"/>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RPr="00F62C73" w:rsidTr="00D230CE">
      <w:trPr>
        <w:trHeight w:val="337"/>
        <w:jc w:val="center"/>
      </w:trPr>
      <w:tc>
        <w:tcPr>
          <w:tcW w:w="8505" w:type="dxa"/>
        </w:tcPr>
        <w:p w:rsidR="002914D6" w:rsidRPr="00F62C73" w:rsidRDefault="008D1009" w:rsidP="00F62C73">
          <w:pPr>
            <w:rPr>
              <w:b/>
              <w:bCs/>
              <w:noProof w:val="0"/>
              <w:rtl/>
            </w:rPr>
          </w:pPr>
          <w:sdt>
            <w:sdtPr>
              <w:rPr>
                <w:b/>
                <w:bCs/>
                <w:rtl/>
              </w:rPr>
              <w:alias w:val="1170"/>
              <w:tag w:val="1170"/>
              <w:id w:val="922609164"/>
              <w:text w:multiLine="1"/>
            </w:sdtPr>
            <w:sdtEndPr/>
            <w:sdtContent>
              <w:r w:rsidR="00094813" w:rsidRPr="00F62C73">
                <w:rPr>
                  <w:b/>
                  <w:bCs/>
                  <w:noProof w:val="0"/>
                  <w:rtl/>
                </w:rPr>
                <w:t>תלה"מ</w:t>
              </w:r>
            </w:sdtContent>
          </w:sdt>
          <w:r w:rsidR="00011212" w:rsidRPr="00F62C73">
            <w:rPr>
              <w:b/>
              <w:bCs/>
              <w:noProof w:val="0"/>
              <w:rtl/>
            </w:rPr>
            <w:t xml:space="preserve"> </w:t>
          </w:r>
          <w:sdt>
            <w:sdtPr>
              <w:rPr>
                <w:b/>
                <w:bCs/>
                <w:rtl/>
              </w:rPr>
              <w:alias w:val="1171"/>
              <w:tag w:val="1171"/>
              <w:id w:val="-1035651213"/>
              <w:text w:multiLine="1"/>
            </w:sdtPr>
            <w:sdtEndPr/>
            <w:sdtContent>
              <w:r w:rsidR="00094813" w:rsidRPr="00F62C73">
                <w:rPr>
                  <w:b/>
                  <w:bCs/>
                  <w:noProof w:val="0"/>
                  <w:rtl/>
                </w:rPr>
                <w:t>62075-03-23</w:t>
              </w:r>
            </w:sdtContent>
          </w:sdt>
          <w:r w:rsidR="00011212" w:rsidRPr="00F62C73">
            <w:rPr>
              <w:b/>
              <w:bCs/>
              <w:noProof w:val="0"/>
              <w:rtl/>
            </w:rPr>
            <w:t xml:space="preserve"> </w:t>
          </w:r>
          <w:sdt>
            <w:sdtPr>
              <w:rPr>
                <w:b/>
                <w:bCs/>
                <w:rtl/>
              </w:rPr>
              <w:alias w:val="1172"/>
              <w:tag w:val="1172"/>
              <w:id w:val="-1735694493"/>
              <w:text w:multiLine="1"/>
            </w:sdtPr>
            <w:sdtEndPr/>
            <w:sdtContent>
              <w:r w:rsidR="00F62C73" w:rsidRPr="00F62C73">
                <w:rPr>
                  <w:rFonts w:hint="cs"/>
                  <w:b/>
                  <w:bCs/>
                  <w:rtl/>
                </w:rPr>
                <w:t>פלוני נ' אלמונית</w:t>
              </w:r>
            </w:sdtContent>
          </w:sdt>
        </w:p>
      </w:tc>
    </w:tr>
  </w:tbl>
  <w:p w:rsidR="002914D6" w:rsidRPr="00F62C73" w:rsidRDefault="00011212">
    <w:pPr>
      <w:pStyle w:val="a3"/>
      <w:rPr>
        <w:b/>
        <w:bCs/>
        <w:noProof w:val="0"/>
        <w:rtl/>
      </w:rPr>
    </w:pPr>
    <w:r w:rsidRPr="00F62C73">
      <w:rPr>
        <w:b/>
        <w:bCs/>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27FBF"/>
    <w:multiLevelType w:val="hybridMultilevel"/>
    <w:tmpl w:val="37F66032"/>
    <w:lvl w:ilvl="0" w:tplc="F78C54DC">
      <w:start w:val="1"/>
      <w:numFmt w:val="decimal"/>
      <w:lvlText w:val="%1."/>
      <w:lvlJc w:val="left"/>
      <w:pPr>
        <w:ind w:left="3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0C6FE3"/>
    <w:rsid w:val="0014058F"/>
    <w:rsid w:val="001E0EB7"/>
    <w:rsid w:val="00242BA8"/>
    <w:rsid w:val="0028289C"/>
    <w:rsid w:val="002914D6"/>
    <w:rsid w:val="002A7B96"/>
    <w:rsid w:val="002F5307"/>
    <w:rsid w:val="003C2B44"/>
    <w:rsid w:val="003C669B"/>
    <w:rsid w:val="00503A57"/>
    <w:rsid w:val="00530E94"/>
    <w:rsid w:val="006A437E"/>
    <w:rsid w:val="00822AA5"/>
    <w:rsid w:val="00885673"/>
    <w:rsid w:val="008C4A8D"/>
    <w:rsid w:val="008C6E70"/>
    <w:rsid w:val="008D1009"/>
    <w:rsid w:val="00910879"/>
    <w:rsid w:val="00946045"/>
    <w:rsid w:val="009922CB"/>
    <w:rsid w:val="00A54660"/>
    <w:rsid w:val="00A7661B"/>
    <w:rsid w:val="00B31305"/>
    <w:rsid w:val="00B54EF5"/>
    <w:rsid w:val="00C226D6"/>
    <w:rsid w:val="00CE7F78"/>
    <w:rsid w:val="00D230CE"/>
    <w:rsid w:val="00EC08AF"/>
    <w:rsid w:val="00F50E07"/>
    <w:rsid w:val="00F62C73"/>
    <w:rsid w:val="00F715B5"/>
    <w:rsid w:val="00FE6C6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28289C"/>
    <w:pPr>
      <w:spacing w:after="160" w:line="252" w:lineRule="auto"/>
      <w:ind w:left="720"/>
      <w:contextualSpacing/>
    </w:pPr>
    <w:rPr>
      <w:rFonts w:ascii="Calibri" w:eastAsiaTheme="minorHAns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91898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8358</Characters>
  <Application>Microsoft Office Word</Application>
  <DocSecurity>0</DocSecurity>
  <Lines>69</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2023-07-12T07:37:00Z</dcterms:created>
  <dcterms:modified xsi:type="dcterms:W3CDTF">2023-07-12T07:37:00Z</dcterms:modified>
</cp:coreProperties>
</file>